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Castlewood Nursing Home Limited - Castlewood Nursing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Castlewood Nursing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Castlewood Nursing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November 2017</w:t>
      </w:r>
      <w:bookmarkEnd w:id="7"/>
      <w:r w:rsidRPr="009418D4">
        <w:rPr>
          <w:rFonts w:cs="Arial"/>
        </w:rPr>
        <w:tab/>
        <w:t xml:space="preserve">End date: </w:t>
      </w:r>
      <w:bookmarkStart w:id="8" w:name="AuditEndDate"/>
      <w:r w:rsidR="00A4268A">
        <w:rPr>
          <w:rFonts w:cs="Arial"/>
        </w:rPr>
        <w:t>15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Castlewood Nursing Home provides rest home level care for up to 24 residents. Occupancy on the first day of audit was at 19 residents. This certification audit was conducted against the Health and Disability Service Standards and the service contract with the district health board.</w:t>
      </w:r>
    </w:p>
    <w:p w:rsidRPr="00A4268A">
      <w:pPr>
        <w:spacing w:before="240" w:line="276" w:lineRule="auto"/>
        <w:rPr>
          <w:rFonts w:eastAsia="Calibri"/>
        </w:rPr>
      </w:pPr>
      <w:r w:rsidRPr="00A4268A">
        <w:rPr>
          <w:rFonts w:eastAsia="Calibri"/>
        </w:rPr>
        <w:t>The audit process included the review of policies, procedures, residents and staff files, observations and interviews with residents, family, management, general practitioner and staff</w:t>
      </w:r>
    </w:p>
    <w:p w:rsidRPr="00A4268A">
      <w:pPr>
        <w:spacing w:before="240" w:line="276" w:lineRule="auto"/>
        <w:rPr>
          <w:rFonts w:eastAsia="Calibri"/>
        </w:rPr>
      </w:pPr>
      <w:r w:rsidRPr="00A4268A">
        <w:rPr>
          <w:rFonts w:eastAsia="Calibri"/>
        </w:rPr>
        <w:t xml:space="preserve">The manager is also the owner and responsible for the overall management of the facility. Clinical support and oversight is provided by two registered nurses. </w:t>
      </w:r>
    </w:p>
    <w:p w:rsidRPr="00A4268A">
      <w:pPr>
        <w:spacing w:before="240" w:line="276" w:lineRule="auto"/>
        <w:rPr>
          <w:rFonts w:eastAsia="Calibri"/>
        </w:rPr>
      </w:pPr>
      <w:r w:rsidRPr="00A4268A">
        <w:rPr>
          <w:rFonts w:eastAsia="Calibri"/>
        </w:rPr>
        <w:t xml:space="preserve">There are twelve corrective actions required in organisational management across governance, quality and risk management, human resources and service provider availability.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are able to demonstrate an understanding of residents' rights. This knowledge is incorporated into their daily work duties and caring for the residents. </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relating to the care they receive. Linkages with family and the community are encouraged and maintained. The service has a documented and implemented complaints management system. </w:t>
      </w:r>
    </w:p>
    <w:p w:rsidRPr="00A4268A">
      <w:pPr>
        <w:spacing w:before="240" w:line="276" w:lineRule="auto"/>
        <w:rPr>
          <w:rFonts w:eastAsia="Calibri"/>
        </w:rPr>
      </w:pPr>
      <w:r w:rsidRPr="00A4268A">
        <w:rPr>
          <w:rFonts w:eastAsia="Calibri"/>
        </w:rPr>
        <w:t>Information regarding resident rights, access to advocacy services and how to lodge a complaint is available to residents and their family.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organisation's mission statement and vision is documented. There are processes in place for incident/accident management. The registered nurses collect data, evaluate and monitor key components of clinical care and share results among staff. Staff confirmed they receive training.</w:t>
      </w:r>
    </w:p>
    <w:p w:rsidRPr="00A4268A">
      <w:pPr>
        <w:spacing w:before="240" w:line="276" w:lineRule="auto"/>
        <w:rPr>
          <w:rFonts w:eastAsia="Calibri"/>
        </w:rPr>
      </w:pPr>
      <w:r w:rsidRPr="00A4268A">
        <w:rPr>
          <w:rFonts w:eastAsia="Calibri"/>
        </w:rPr>
        <w:t>Staffing levels meet occupancy and acuity levels and residents state they have adequate access to staff when needed. Duty rosters sighted confirm that there is adequate staff available and staff confirmed they are aware of the process to assure safe staffing afterhours.</w:t>
      </w:r>
    </w:p>
    <w:p w:rsidRPr="00A4268A">
      <w:pPr>
        <w:spacing w:before="240" w:line="276" w:lineRule="auto"/>
        <w:rPr>
          <w:rFonts w:eastAsia="Calibri"/>
        </w:rPr>
      </w:pPr>
      <w:r w:rsidRPr="00A4268A">
        <w:rPr>
          <w:rFonts w:eastAsia="Calibri"/>
        </w:rPr>
        <w:t xml:space="preserve">Adverse events are documented and discussed with residents and/or their family. The manager understands their statutory obligations regarding essential notification. </w:t>
      </w:r>
    </w:p>
    <w:p w:rsidRPr="00A4268A">
      <w:pPr>
        <w:spacing w:before="240" w:line="276" w:lineRule="auto"/>
        <w:rPr>
          <w:rFonts w:eastAsia="Calibri"/>
        </w:rPr>
      </w:pPr>
      <w:r w:rsidRPr="00A4268A">
        <w:rPr>
          <w:rFonts w:eastAsia="Calibri"/>
        </w:rPr>
        <w:t xml:space="preserve">Resident record entries are legible with dates, signatures and staff designations included. All individual resident records are integrated and stored securely.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with relevant information provided to the potential resident/family by the registered nurses. The registered nurses and the residents’ general practitioner, assess residents’ needs on admission. Care plans are individualised, based on a range of information, and accommodate any new problems that might arise. Records reviewed demonstrated the care provided and needs of residents are reviewed and evaluated on a regular and timely basis. Residents are referred or transferred to other health services if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 their links with family/whānau and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A maintenance programme includes equipment and electrical checks with any issues addressed as these arise. Fixtures, fittings, and floor and wall surfaces are made of accepted materials for this environment. Resident rooms are of an appropriate size to allow for care to be provided and for the safe use and manoeuvring of mobility aids. Hazardous substances are managed appropriately.</w:t>
      </w:r>
    </w:p>
    <w:p w:rsidRPr="00A4268A">
      <w:pPr>
        <w:spacing w:before="240" w:line="276" w:lineRule="auto"/>
        <w:rPr>
          <w:rFonts w:eastAsia="Calibri"/>
        </w:rPr>
      </w:pPr>
      <w:r w:rsidRPr="00A4268A">
        <w:rPr>
          <w:rFonts w:eastAsia="Calibri"/>
        </w:rPr>
        <w:t>Essential emergency and security systems are in place with six monthly fire drills completed. Call bells enable residents to access help when needed.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No enablers or restraints were in use at the time of audit. Use of enablers is voluntary, for the safety of residents and in response to individual requests. Staff stated restraint education is provided at orientation and is ongoing. Staff interviewed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registered nurse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policies and procedures. Staff stated they have access to infection prevention and control  education.</w:t>
      </w:r>
    </w:p>
    <w:p w:rsidRPr="00A4268A">
      <w:pPr>
        <w:spacing w:before="240" w:line="276" w:lineRule="auto"/>
        <w:rPr>
          <w:rFonts w:eastAsia="Calibri"/>
        </w:rPr>
      </w:pPr>
      <w:r w:rsidRPr="00A4268A">
        <w:rPr>
          <w:rFonts w:eastAsia="Calibri"/>
        </w:rPr>
        <w:t>Aged care specific infection surveillance is undertaken, and results are fed back to staff.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37"/>
        <w:gridCol w:w="1280"/>
        <w:gridCol w:w="93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confirmed that they receive services that meet their needs and they receive information relative to their needs. Staff state they receive education on the Health and Disability Commissioner Code of Health and Disability Services Consumers' Rights (the Code) during their induction to the service and through in house training. Staff confirmed their understanding of the Code (refer to 1.2.7.5).</w:t>
            </w:r>
          </w:p>
          <w:p w:rsidR="00EB7645" w:rsidRPr="00BE00C7" w:rsidP="00BE00C7">
            <w:pPr>
              <w:pStyle w:val="OutcomeDescription"/>
              <w:spacing w:before="120" w:after="120"/>
              <w:rPr>
                <w:rFonts w:cs="Arial"/>
                <w:b w:val="0"/>
                <w:lang w:eastAsia="en-NZ"/>
              </w:rPr>
            </w:pPr>
            <w:r w:rsidRPr="00BE00C7">
              <w:rPr>
                <w:rFonts w:cs="Arial"/>
                <w:b w:val="0"/>
                <w:lang w:eastAsia="en-NZ"/>
              </w:rPr>
              <w:t>The auditors noted a respectful approach towards residents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(refer 1.2.3.4) to direct staff in relation to gathering of informed consent. Resident files identified informed consent is obtained. Interviews with staff confirmed their understanding of informed consent processes. Staff ensure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information pack includes information regarding informed consent. The RNs discuss informed consent processes with residents and their families during the admission process. The policy and procedure includes guidelines for consent for resuscitation/advance directives (refer 1.2.3.4). Resuscitation orders are completed for residents when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relating to advocacy services is available at the entrance to the facility and in the information packs provided to residents and family on admission to the service. Written information on the role of advocacy services is also provided to complainants at the time their complaint is acknowledged. Staff interviews stated they have received training (refer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confirmed the service provides opportunities for the family/EPOA to be involved in decisions and that they are informed about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 facility is secured in the evenings and visitors can arrange to visit after doors are locked. Families confirmed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complaints policy and procedures (refer 1.2.3.4) are in line with the Code and include timeframes for responding to a complaint. Complaint forms are available at the entrance.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logged complaint is held in the complaints folder and register. Complaints reviewed indicated complaints are investigated promptly and issues are resolved in a timely manner. Staff, residents and family confirmed they are aware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complaints management and residents and family stated that these are dealt with as soon as they are identified. 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lodged with the Southland District Health Board which had been closed out. There have been no complaints lodged with the Health and Disability Commissioner or any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(RN) discuss the Code with residents and their family on admission.</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their rights are being upheld by the service. Information on the Code is given to next of kin or enduring power of attorney (EPOA) to read and discuss with the resident in private. The Code of Rights posters identifying residents’ rights and advocacy services information is displayed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Castlewood Nursing Home has a philosophy that promotes dignity, respect and quality of life. The service ensures that each resident has the right to privacy and dignity. The residents’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confirmed that cultural and/or spiritual values and individual preferences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report they knock on bedroom doors prior to entering rooms, ensure doors are shut when cares are being given and do not hold personal discussions in public areas. This was observed on the days of the audit. Residents and families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neglect and abuse policy, however, the policy does not inform staff of the procedure should abuse/neglect be suspected and/or identified (refer 1.2.3.3 and 1.2.3.4). There were no documented incidents of abuse or neglect in the incidents reviewed in the residents’ files. Residents, staff, family and the general practitioner (GP) confirmed there was no evidence of abuse or neglect. Staff confirmed they are aware of the need to ensure residents are not exploited, neglected or abused. Staff can describe the process for escalating any issues. Staff interviews confirmed that there has been training on abuse and neglect (refer to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responsiveness policy which outlines the processes for working with people from other cultures. A Māori health plan (refer 1.2.3.4) outlines how to work with Māori and the relevance of the Treaty of Waitangi. There were no residents or staff who identified as Māori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files confirmed that specific cultural needs are identified in the residents’ care plans and interRAI assessments. The RNs access the Ministry of Health web site and Uruuruwhenua Health to guide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involved in the assessment and the care planning processes. Staff and resident interviews confirmed there are choices for residents regarding their care and services. Information gathered during assessment includes the resident’s cultural values and beliefs. The initial care plan and the long-term care plan are based on this assessment information and incudes InterRAI assessment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Castlewood Nursing Home consumer policies and procedures are based on good practice, current legislation and guidelines, with multiple versions in differing formats which were made available on audit for review (refer to 1.2.3.4). On interview, staff stated orientation and induction includes recognition of discrimination, abuse and neglect, the staff code of conduct and prevention of inappropriate care, however, there was no documented evidence to confirm training has occurred (refer to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confirmed awareness of how to identify and manage discrimination, abuse and neglect, harassment and exploitation. There were no complaints recorded in the complaints register for the previous 12 months relating to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outline the responsibilities of position, including ethical issues relevant to the role (refer 1.2.7.2). Staff confirmed understanding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can describe good practice based on policies and procedures, care plans and information given to them via the registered nurses and the general practitioner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also available with health professionals and specialists in the region. Staff are able to describe how and when they would make contact. Residents and families interviewed expressed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The medical centre is located next door to the facility and staff state they can access the GP when support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guide staff on the process to ensure full and frank open disclosure is available. Accident/incidents, the complaints procedure and the open disclosure procedure alert staff to their responsibility to notify family/EPOA of any accident/incident that occurs. Family stated they are informed if the resident has an incident/accident, has a change in health or a change in needs, evidenced in completed accident/incident forms reviewed. Family confirmed they are invited to the care planning meetings for their family member and can attend the residents’ meetings. Families confirmed they are well informed. Family contact is recorded in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 an admission agreement on entry to the service. This provides clear information around what is paid for by the service and by the resident. The admission agreements reviewed were signed on the day of admission. </w:t>
            </w:r>
          </w:p>
          <w:p w:rsidR="00EB7645" w:rsidRPr="00BE00C7" w:rsidP="00BE00C7">
            <w:pPr>
              <w:pStyle w:val="OutcomeDescription"/>
              <w:spacing w:before="120" w:after="120"/>
              <w:rPr>
                <w:rFonts w:cs="Arial"/>
                <w:b w:val="0"/>
                <w:lang w:eastAsia="en-NZ"/>
              </w:rPr>
            </w:pPr>
            <w:r w:rsidRPr="00BE00C7">
              <w:rPr>
                <w:rFonts w:cs="Arial"/>
                <w:b w:val="0"/>
                <w:lang w:eastAsia="en-NZ"/>
              </w:rPr>
              <w:t>There is no policy or procedure in place to guide staff if interpreters are required (refer 1.2.3.3), however, staff confirmed that interpreting services are available from the district health board. There were no residents requiring interpreting services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Castlewood Nursing Home has a documented mission statement in the governance document, with generalised statements without clear direction or key performance measures for monitoring and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registered mental health nurse without a current practising certificate. The manager has not completed any management training in the last 12 months and does not have a signed contract or job description (refer 1.2.7.5). There are two registered nurses who job share. The RNs have been in their roles approximately two years and both have current practicing certificates. One of the registered nurses has a theatre nurse background and the second RN has a background in intensive care nursing.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staff meetings which include clinical quality and risk management in some clinical areas. These reports are instigated by the RNs, without management oversight (refer to 1.2.3.1).</w:t>
            </w:r>
          </w:p>
          <w:p w:rsidR="00EB7645" w:rsidRPr="00BE00C7" w:rsidP="00BE00C7">
            <w:pPr>
              <w:pStyle w:val="OutcomeDescription"/>
              <w:spacing w:before="120" w:after="120"/>
              <w:rPr>
                <w:rFonts w:cs="Arial"/>
                <w:b w:val="0"/>
                <w:lang w:eastAsia="en-NZ"/>
              </w:rPr>
            </w:pPr>
            <w:r w:rsidRPr="00BE00C7">
              <w:rPr>
                <w:rFonts w:cs="Arial"/>
                <w:b w:val="0"/>
                <w:lang w:eastAsia="en-NZ"/>
              </w:rPr>
              <w:t>Castlewood Nursing Home has contracts with the Southland District Heath Board (SDHB) for rest home services and aged related residential respite care. The facility can provide care for up to 24 residents requiring rest home level of care, with 19 rest home residents in the service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owner manager, one of the two RNs are designated to the position of acting manager. One of the registered nurses recently covered when the manager was away for five weeks.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quality and risk framework and limited risk register documented, however a number of gaps were identified in its implementation and understanding of this at a management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review of incidents and accidents with monthly analysis of data, completed by the RNs, however this is not reported through to management and there is no evidence that this information explicitly links to the quality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organisational policies and procedures to support service delivery, however not all required policies were in place or meet current legislative, health and disability standards or contractual requirements. There is no formal process in place for document control. Staff were able to articulate understanding and knowledge of policies in place, however, the manager was unable to demonstrate awareness of policies implemented and how to access current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monthly residents’ minuted meetings and families are invited to attend. There are monthly staff meetings with handwritten meeting notes, with no evidence of corrective actions being documented. There are informal monthly management meetings held with the manager and the RNs, however, there are no formal minutes documented for this meeting.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incidents, accidents and complaints being managed in a timely manner with relevant corrective actions reflected in the residents’ files where applicable. A current organisational audit schedule was not in place. There was evidence of nursing audits activity occurring in isolation. There was limited evidence of corrective action plans associated with any audit activity completed. There has not been a recent resident or staff survey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measurement of achievement against the quality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aware of situations in which the service is required to report and notify statutory authorities, including unexpected deaths, police attending the facility, sentinel events, infectious disease outbreaks and changes in key management roles. Evidence was sighted confirming that the Ministry of Health had been notified of the manager appointment.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review of documentation evidence that staff document adverse, unplanned or untoward events on an accident/incident form which are signed off by the manager. There is a process which is implemented for neurological observations for head injuries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deaths referred to the coroner. There has been one essential notification to Ministry of Health and the district health board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Castlewood Nursing Home has documented human resource management policies and procedures. The skills and knowledge required for each position is documented in job descriptions with the exception of the manager.  These were reviewed on staff files along with employment agreements (also with the exception of the manager), reference checks, copies of current practicing certificates, police vetting and completed orientations. There was no evidence of annual practicing certificates for the contractors that require them to practise, including the pharmacist.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scheduled monthly in-service training as part of the monthly staff meetings as evidenced in meeting notes. There was no documentation to verify the in-service training content. The two RNs have completed interRAI assessments training and competencies. 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demonstrate competency on a number of tasks, including personal cares. The staff orientation covers the essential components of the service provided. Healthcare assistants confirmed their involvement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competencies are required to be completed by clinical staff. There was evidence in the clinical staff files reviewed of competencies completed for all staff.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and rationale (dated 2003) does not reflect the aged residential contract and the health and disability standard (refer 1.2.3.3 and 1.2.3.4). In practice, staffing levels are reviewed for anticipated workloads, identified numbers and appropriate skill mix. Staffing levels are adjusted as required due to changes in acuity and the number of residents. Rosters sighted reflected staffing levels meet resident acuity and bed occupancy. On review of rosters, adequate cover was evidenced with the exception of the diversional therapist (DT). The RNs job share and cover Monday to Friday. There are two staff members on duty in the facility on morning and afternoon shifts (i.e. either two health care assistants (HCAs) or a RN and a HCA). There is one HCA staff member on duty at night. Review of the rosters identified that the manager was roistered on two morning shifts per week for two consecutive weeks. There was no evidence to verify that the manager has completed competencies appropriate to the role of HCA. </w:t>
            </w:r>
          </w:p>
          <w:p w:rsidR="00EB7645" w:rsidRPr="00BE00C7" w:rsidP="00BE00C7">
            <w:pPr>
              <w:pStyle w:val="OutcomeDescription"/>
              <w:spacing w:before="120" w:after="120"/>
              <w:rPr>
                <w:rFonts w:cs="Arial"/>
                <w:b w:val="0"/>
                <w:lang w:eastAsia="en-NZ"/>
              </w:rPr>
            </w:pPr>
            <w:r w:rsidRPr="00BE00C7">
              <w:rPr>
                <w:rFonts w:cs="Arial"/>
                <w:b w:val="0"/>
                <w:lang w:eastAsia="en-NZ"/>
              </w:rPr>
              <w:t>There are 13 staff, including the manager, clinical staff, a diversional therapist, and household staff. The manager lives on site and is the first on call contact (refer 1.2.1.3).</w:t>
            </w:r>
          </w:p>
          <w:p w:rsidR="00EB7645" w:rsidRPr="00BE00C7" w:rsidP="00BE00C7">
            <w:pPr>
              <w:pStyle w:val="OutcomeDescription"/>
              <w:spacing w:before="120" w:after="120"/>
              <w:rPr>
                <w:rFonts w:cs="Arial"/>
                <w:b w:val="0"/>
                <w:lang w:eastAsia="en-NZ"/>
              </w:rPr>
            </w:pPr>
            <w:r w:rsidRPr="00BE00C7">
              <w:rPr>
                <w:rFonts w:cs="Arial"/>
                <w:b w:val="0"/>
                <w:lang w:eastAsia="en-NZ"/>
              </w:rPr>
              <w:t>There is no formalised process or policy for on-call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of residents’ records. Relevant resident care documentation can be accessed in a timely manner. The service retains relevant and appropriate information to identify residents and track records. Information containing sensitive resident information is not displayed in a way that could be viewed by other residents or members of the public. Archived records are securely stored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 the residents’ unique identifiers. The clinical records are integrated and include information such as medical notes, assessment information and reports from other health professionals. Medication charts are kept separate from residents’ files. Resident files and medication charts are accessed by authorised personnel only.</w:t>
            </w:r>
          </w:p>
          <w:p w:rsidR="00EB7645" w:rsidRPr="00BE00C7" w:rsidP="00BE00C7">
            <w:pPr>
              <w:pStyle w:val="OutcomeDescription"/>
              <w:spacing w:before="120" w:after="120"/>
              <w:rPr>
                <w:rFonts w:cs="Arial"/>
                <w:b w:val="0"/>
                <w:lang w:eastAsia="en-NZ"/>
              </w:rPr>
            </w:pPr>
            <w:r w:rsidRPr="00BE00C7">
              <w:rPr>
                <w:rFonts w:cs="Arial"/>
                <w:b w:val="0"/>
                <w:lang w:eastAsia="en-NZ"/>
              </w:rPr>
              <w:t>Residents’ progress notes are completed on every shift, detailing resident response to service provision and progress towards identified goals. Entries made by the service providers in the progress notes identify the name and designation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current information from the NASC service or the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Resident records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 ‘yellow envelope’ system to facilitate transfer of residents to and from acute services. There is open communication between all services, the resident and the family/whānau. At the time of transition between services, appropriate information is provided for the ongoing management of the resident. All referrals are documented in the progress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(reviewed April 2017) and identifies all aspects of medicine management.</w:t>
            </w:r>
          </w:p>
          <w:p w:rsidR="00EB7645" w:rsidRPr="00BE00C7" w:rsidP="00BE00C7">
            <w:pPr>
              <w:pStyle w:val="OutcomeDescription"/>
              <w:spacing w:before="120" w:after="120"/>
              <w:rPr>
                <w:rFonts w:cs="Arial"/>
                <w:b w:val="0"/>
                <w:lang w:eastAsia="en-NZ"/>
              </w:rPr>
            </w:pPr>
            <w:r w:rsidRPr="00BE00C7">
              <w:rPr>
                <w:rFonts w:cs="Arial"/>
                <w:b w:val="0"/>
                <w:lang w:eastAsia="en-NZ"/>
              </w:rPr>
              <w:t>A safe process for administration of medicines was observed on the day of the audit. The staff member observed demonstrated a safe procedure and had a clear understanding of the role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RNs check medications against the prescriptions when delivered from the pharmacy. All medications sighted were within current use by dates. The clinical pharmacist input is provided six monthly including a medicine audit and medication records being reviewed (refer to 1.2.7.2). </w:t>
            </w:r>
          </w:p>
          <w:p w:rsidR="00EB7645" w:rsidRPr="00BE00C7" w:rsidP="00BE00C7">
            <w:pPr>
              <w:pStyle w:val="OutcomeDescription"/>
              <w:spacing w:before="120" w:after="120"/>
              <w:rPr>
                <w:rFonts w:cs="Arial"/>
                <w:b w:val="0"/>
                <w:lang w:eastAsia="en-NZ"/>
              </w:rPr>
            </w:pPr>
            <w:r w:rsidRPr="00BE00C7">
              <w:rPr>
                <w:rFonts w:cs="Arial"/>
                <w:b w:val="0"/>
                <w:lang w:eastAsia="en-NZ"/>
              </w:rPr>
              <w:t>The record of temperatures for the medicine fridge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Safe prescribing practices noted included the prescriber’s signature and data recorded on the commencement and discontinuation of medicines and all requirements for pro re nata (PRN) medicines being met. The required three monthly GP reviews are recorded on the medicine records. There is a current standing orders sheet in each individual resident’s medication record which are reviewed by their GP annually.</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was self-administering medication at the time of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evaluation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an experienced cook five days a week. The cook’s days off are covered by the manager who has a certificate in safe food handling. The manager is currently advertising for a second cook. Staff who work in the kitchen have completed safe food handling and hygiene requirements. The menu follows summer and winter patterns and has been reviewed by a qualified dietitian within the last two years.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comply with current legislation and guidelines. Fridge and food temperatures are monitored and recorded. Most food is purchased locally. Other food stuffs are ordered by the cook or the manager and are delivered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by the RN for each resident on admission to the facility and a dietary profile developed. The personal food preferences, any special diets and modified texture requirements are made known to kitchen staff and accommodated in the daily menu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in the resident meeting minutes and resident/family interviews. Residents were seen to be given sufficient time to eat their meal in the dining room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and the prospective resident does not meet the entry criteria or there is currently no vacancies, the local NASC is advised to ensure the prospective resident and family are supported to find an appropriate care alternative. If the needs of a resident change and the services offered are no longer suitable, a referral for reassessment to the NASC is made and a new placement found, in consultation with the resident and whānau/family. Examples of this occurring were discussed. There is a cause in the resident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for example, falls risk assessments; skin integrity; nutritional screening and continence assessments, as a means to identify any deficits and to inform care planning. The sample of care plans reviewed had an integrated range of resident-related information. All residents have current interRAI assessments completed by one of the two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the outcomes of the integrated assessment process and other relevant clinical information.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 service integration with progress records, activities records, and medical notations clearly written, informative and relevant. Any change in care required is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appropriately provided. Care staff confirmed that care was provided as outlined in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qualified diversional therapist (DT).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community activities. Individual and group activities and regular events are offered. Residents and families/whānau are involved in evaluation and improving the programme through residents’ meetings held two monthly. Residents interviewed confirmed they find the programme interesting. The DT interviewed had recently been on leave for three weeks and was not covered on the roster. Care staff ensured the resident’s enjoyed some organised activities (refer to 1.2.8.1). The sighted activities programme evidenced flexibility and incorporation of residents’ interests. The DT documented residents’ voluntary attendance at the sessions provided. A community van is available, able to be shared with other services in the community for outings and used for taking residents to appointments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records. If any change is noted, it is reported to a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reassessments, or when a residents’ needs change. Where progress is different from expected, the service responds by initiating changes to the plan of care. Examples of short-term care plans being consistently reviewed and progress evaluated as clinically indicated were noted, for example, post falls, wound care and/or for infections such as urinary infections. When necessary, and for unresolved problems, long-term care plans are added to and updated accordingly. Residents and family members interviewed provided examples of their involvement in evaluations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Residents may choose to use a medical practitioner of their choice. If the need for other non-urgent services is indicated or requested, the GP sends a referral to seek specialist input as required. Copies of referrals were sighted in residents’ records reviewed including but not limited to, orthopaedic; wound care nurse specialist; physiotherapist and podiatrist referrals. The resident and the family/whānau are kept informed of the referral process, as verified by documentation and interviews. Any acute/urgent referrals are attended to immediately, such as sending the resident to accident and emergency at the rural hospital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and incidents are reported on in a timely manner. Material safety data sheets are available throughout the facility and accessible to staff. Staff receive training and education in safe and appropriate handling of waste and hazardous substances (refer 1.2.7.5).</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for the recognized risks within the facility. During a tour of the facility, protective clothing and equipment was observed in all high-risk areas. Chemicals are securely stored in a designated cupboard.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and reactive maintenance schedule implemented. The service has an annual test and tag programme and this is up to date, with checking and calibrating of clinical equipment annually. 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The external areas are maintained and appropriate to the resident group and setting. The environment is conducive to the range of activities undertaken. Residents confirm they are able to move freely in and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communal toilets/bathing facilities. There is a visitor/staff toilet. Communal toilet facilities have a system that indicates if it is engaged or vacant. Some rooms have shared en-suites.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toilet/shower/bathing areas, and other equipment/accessories are made available to promote resident independence where required. Residents and family members interviewed reported there are sufficient toilets and showers.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sufficient space for residents to mobilise with or without assistance in a safe manner. Rooms can be individualised with furnishings, photos and other adornments and the service encourages residents to make the room their own. Residents spoke positively about their rooms and rooms were observed to be personalised.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walking frames in the bedroom safely during the day and night,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lounge/dining area that is also used for activities. Residents can choose to have their meals in their room or in the lounge/dining room. Residents are able to access areas for privacy,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procedures in place for cleaning, with staff able to describe how they complete cleaning tasks. There is a dedicated locked storage area for cleaning equipment and chemicals. Staff state that there is training on the use of products and staff are reminded to keep the trolley with them at all times. Cleaning is monitored by the owner. The facility was observed to be clean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including residents’ personal laundry is completed on site with a dirty and clean process in place.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interviewed confirm they always have enough linen to meet day-to-day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in place.</w:t>
            </w:r>
          </w:p>
          <w:p w:rsidR="00EB7645" w:rsidRPr="00BE00C7" w:rsidP="00BE00C7">
            <w:pPr>
              <w:pStyle w:val="OutcomeDescription"/>
              <w:spacing w:before="120" w:after="120"/>
              <w:rPr>
                <w:rFonts w:cs="Arial"/>
                <w:b w:val="0"/>
                <w:lang w:eastAsia="en-NZ"/>
              </w:rPr>
            </w:pPr>
            <w:r w:rsidRPr="00BE00C7">
              <w:rPr>
                <w:rFonts w:cs="Arial"/>
                <w:b w:val="0"/>
                <w:lang w:eastAsia="en-NZ"/>
              </w:rPr>
              <w:t>Emergency management policies and procedures guide staff actions in the event of an emergency (refer 1.2.3.4). Emergency plans take into account emergency systems such as: fire protection equipment; emergency lighting; and communication. Fire equipment is checked monthly by an approved provider. All resident areas have smoke alarms and a sprinkler system. Emergency education and training for staff includes six monthly trial evacuations and there is always a staff member on duty with a current first aid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Alternative energy and utility sources are available in the event of the main supplies failing and include emergency lighting and a gas barbeque that can be used for cooking.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systems are in place with staff checking that the premises are secure at night. Staff and residents confirm they feel safe at all times. Call bells are located in all resident areas. Resident and family/whānau confirmed call bells are answered within an acceptable timeframe. Call bells and sensor mats checked on the day of the audit are functional and calls responded to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There is a designated external smoking area.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state that the building is maintained at an appropriate temperature in both winter and summer.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programme to minimise the risk of infection to residents, staff and visitors. The programme is guided by a current infection control manual, with input from the two RNs and a GP, if required. The infection prevention and control programme and manual is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two RNs is the designated infection control coordinator with their role and responsibilities defined in a job description. Infection control matters, including surveillance results, are reported monthly at the staff quality meeting. The RNs, the cook, the cleaner and care staff make up the infection committee.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signage is displayed at the entrance to the rest home and people who have been unwell are encouraged not to enter the facility. The infection control manual provides guidance for staff about how long they must stay away from work if they have been unwell. Staff interviewed understood their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appropriate skills, knowledge and qualifications for the role, and has been in this role for over two years. The infection control coordinator  has undertaken online learning in infection prevention and control and has attended courses/training, as verified in training records sighted. Additional support and information is accessed from the infection control team at the DHB, a local rural hospital, the community laboratory, the GP and public health, as required. The infection control coordinator has access to residents’ records and diagnostic results to ensure timely treatment and resolution of any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confirmed the availability of resources to support the programme and any outbreak of an infection. There have been no outbreaks of infection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practice. Policies were last reviewed October 2017 and include appropriate referencing. Care delivery, cleaning/laundry and kitchen staff were observed following organisational policies, such as: appropriate use of hand sanitisers; good hand washing technique; use of disposable aprons; gloves and hats. Hand washing and sanitiser dispensers are readily available around the rest home and paper hand towels were evident in all individual resident rooms and all service areas.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observations and documentation verified staff have received education in infection prevention and control at orientation and ongoing education sessions. Education is provided by the RNs at handover between shifts, during the staff monthly meetings or at bedsides, if required. Records are maintained by the infection control coordinator of infection control topics covered. Education with residents is generally on a one-to-one basis and has included hand washing, advice about remaining in their room if unwell and increasing fluids,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long-term care facilities. The infection control coordinator reviews all reported infections and these are documented. New infections and any required management plan is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analysed and graphs are developed to identify any trends, possible causative factors and required actions. Results of surveillance are shared with staff via the staff monthly meetings and at staff handovers (refer 1.2.3.5). Graphs are produced that identify trends for the month and current year and comparisons against previous years can be 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required needs of the restraint minimisation and safe practice standards and provide guidance for staff on the safe use of both restraints and enablers. One of the RNs is the restraint coordinator. The restraint coordinator provides support and oversight for enabler and restraint management in the facility and demonstrated an understanding of the role and responsibilities in interview. On the day of the audit, no residents were using restraints or enablers. Staff interviewed reported education was provided and this was evidenced in the training records reviewed. Staff understood the restraint/enabler process.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71"/>
        <w:gridCol w:w="1280"/>
        <w:gridCol w:w="5224"/>
        <w:gridCol w:w="1470"/>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overarching governance document which was reviewed August 2017. The governance document outlines generic goal statements, without reference to timeframes and responsibilities and references out dated information relevant to the previous manager, in the business plan section of the document (refer to 1.2.3.4).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governance document does not have key performance measures, timeframes and who is responsible and is not reflective of the current management structure.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governance document is current and reflects a planned, coordinated approach to services provided, including key performance measures which are regularly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has owned the business since 1999 and lives on site. Historically there has been an appointed clinical manager who resigned 14 months ago and the owner has been self-appointed to the role of manager of the service. There is no evidence of management qualifications or of eight hours professional development being completed annually appropriate to the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has not completed the required management training as per the aged residential care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manager completes relevant education to meet the aged residential care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documented quality and risk management system, however it does not include objectives for improvement, accountabilities, timeframes or review to support and guide quality and risk management. On interview, the manager was unable to articulate or demonstrate how the quality and risk management framework was implemented or aligned with the quality framework documented. Some aspects of quality and risk processes being implemented in some clinical areas by the two RNs in isolation without management oversight. There is no evidence of overarching organisational quality and risk management, monitoring, analysis, mitigation and reporting.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is ad-hoc with no evidence of overarching monitoring or reporting at a management level of the organisation.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quality and risk management framework is implemented with management oversight appropriate for the size and nature of the aged care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polices in place to guide practice, however, there is no process to ensure policies are aligned with current good practice and meet legislative requirements. Not all policies have been reviewed in a timely manner. There are policies which do not have procedures and processes to guide staff (e.g. abuse and neglect) and some policies are not documented, (e.g. interpreter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no formalised process in place to ensure that policies and procedures align with good practice, meet legislative requirements or are reviewed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ii) The abuse and /or neglect of resident’s policy does not describe the procedure should abuse and /or neglect be suspected or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is no interpreter policy available to guide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 process is implemented to review policies in a timely manner to assure their currency and alignment with good practice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ii) Document a procedure to effectively manage any incidence of abuse and /or neglect.</w:t>
            </w:r>
          </w:p>
          <w:p w:rsidR="00EB7645" w:rsidRPr="00BE00C7" w:rsidP="00BE00C7">
            <w:pPr>
              <w:pStyle w:val="OutcomeDescription"/>
              <w:spacing w:before="120" w:after="120"/>
              <w:rPr>
                <w:rFonts w:cs="Arial"/>
                <w:b w:val="0"/>
                <w:lang w:eastAsia="en-NZ"/>
              </w:rPr>
            </w:pPr>
            <w:r w:rsidRPr="00BE00C7">
              <w:rPr>
                <w:rFonts w:cs="Arial"/>
                <w:b w:val="0"/>
                <w:lang w:eastAsia="en-NZ"/>
              </w:rPr>
              <w:t>iii) Document an interpreter policy which includes the process to access interpreters and maintain current information on interpreter services available.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however, not all policies provided for review were current. There was evidence of multiple versions and differing formats of policies for the same purpose in circulation at the time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 control system in place to ensure version control of policies.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document control process is written and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collecting, analysing and evaluating clinical data, and reporting this information formally back to staff during meetings. This includes the outcomes and the corrective actions that are required to improve health outcomes. There is no evidence of how this information is linked to an overarching quality management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process to link key components of service delivery to the quality and risk framework.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process is documented and implemented to link the key components of service delivery to a quality and risk framework.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some nursing directed quality audits occurring, however these are not reported to management as part of the overall quality and risk management framework. As there is no overarching quality and risk management system implemented, with specified timeframes, clear objectives and responsibilities, there is no ability to measure achievement against the quality and risk management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clear process documented to monitor and measure achievement against the quality and risk management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quality and risk management system is implemented with clear processes to measure quality against.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Incidents/accidents, nursing audits and complaints are completed with corrective actions in place. Meeting minutes completed do not have corrective action plans. There is no planned current organisation audit schedule in place and there has been no recent resident or staff survey completed to support quality improvement processes, inclusive of corrective action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Areas requiring improvement are not always identified.</w:t>
            </w:r>
          </w:p>
          <w:p w:rsidR="00EB7645" w:rsidRPr="00BE00C7" w:rsidP="00BE00C7">
            <w:pPr>
              <w:pStyle w:val="OutcomeDescription"/>
              <w:spacing w:before="120" w:after="120"/>
              <w:rPr>
                <w:rFonts w:cs="Arial"/>
                <w:b w:val="0"/>
                <w:lang w:eastAsia="en-NZ"/>
              </w:rPr>
            </w:pPr>
            <w:r w:rsidRPr="00BE00C7">
              <w:rPr>
                <w:rFonts w:cs="Arial"/>
                <w:b w:val="0"/>
                <w:lang w:eastAsia="en-NZ"/>
              </w:rPr>
              <w:t>ii) Corrective action plans are not always developed or closed out.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process is implemented to identify, document and close out corrective action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hazard register in place to identify facility issues, which are completed in an ad-hoc manner by the manager. There is a current documented risk management framework within the quality and risk management system, with a limited risk register documented, however there was no evidence of an active implementation process to identify, monitor and mitigate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an implemented process to identify, monitor and mitigate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process to identify, manage and mitigate risk is documented and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RNs have current annual practising certificates, however, there was no evidence in the staff files of current practising certificates for allied staff or contractors such as the pharmacist. The manager was self-appointed and does not have a current relevant job description for the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evidence of current annual practising certificates or pharmacy licence verification for the contracted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manager does not have a current relevant position description.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 record of all annual practising certificates for contracted staff are maintained on staff files.</w:t>
            </w:r>
          </w:p>
          <w:p w:rsidR="00EB7645" w:rsidRPr="00BE00C7" w:rsidP="00BE00C7">
            <w:pPr>
              <w:pStyle w:val="OutcomeDescription"/>
              <w:spacing w:before="120" w:after="120"/>
              <w:rPr>
                <w:rFonts w:cs="Arial"/>
                <w:b w:val="0"/>
                <w:lang w:eastAsia="en-NZ"/>
              </w:rPr>
            </w:pPr>
            <w:r w:rsidRPr="00BE00C7">
              <w:rPr>
                <w:rFonts w:cs="Arial"/>
                <w:b w:val="0"/>
                <w:lang w:eastAsia="en-NZ"/>
              </w:rPr>
              <w:t>ii) Ensure current and relevant position descriptions are in place for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monthly in-service training that is incorporated in the staff monthly meetings. Staff confirmed that in-service training was attended, however there was no evidence the training was provided by an appropriately qualified person or documentation to evidence the content of the training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the content of in-service training held.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in-service training content meets service requirements and is provided by appropriately qualified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staffing is adequate to meet the residents’ needs. Interviews with RNs confirmed there is an informal agreement for staff to call them for clinical advice.</w:t>
            </w:r>
          </w:p>
          <w:p w:rsidR="00EB7645" w:rsidRPr="00BE00C7" w:rsidP="00BE00C7">
            <w:pPr>
              <w:pStyle w:val="OutcomeDescription"/>
              <w:spacing w:before="120" w:after="120"/>
              <w:rPr>
                <w:rFonts w:cs="Arial"/>
                <w:b w:val="0"/>
                <w:lang w:eastAsia="en-NZ"/>
              </w:rPr>
            </w:pPr>
            <w:r w:rsidRPr="00BE00C7">
              <w:rPr>
                <w:rFonts w:cs="Arial"/>
                <w:b w:val="0"/>
                <w:lang w:eastAsia="en-NZ"/>
              </w:rPr>
              <w:t>There is no formalised process or policy for on-call management. A consultation document (dated August 2016) to the RNs in relation to payment for afterhours work, specifies that Castlewood Nursing Home does not request on-call services from its employed nurses. The manager is the first person to be called after-hours. The RNs are not on an on-call roster.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formal documented policy or process to reflect safe staffing management for the aged residential care contract or standard obligations with regard to:</w:t>
            </w:r>
          </w:p>
          <w:p w:rsidR="00EB7645" w:rsidRPr="00BE00C7" w:rsidP="00BE00C7">
            <w:pPr>
              <w:pStyle w:val="OutcomeDescription"/>
              <w:spacing w:before="120" w:after="120"/>
              <w:rPr>
                <w:rFonts w:cs="Arial"/>
                <w:b w:val="0"/>
                <w:lang w:eastAsia="en-NZ"/>
              </w:rPr>
            </w:pPr>
            <w:r w:rsidRPr="00BE00C7">
              <w:rPr>
                <w:rFonts w:cs="Arial"/>
                <w:b w:val="0"/>
                <w:lang w:eastAsia="en-NZ"/>
              </w:rPr>
              <w:t>i) Skill mix</w:t>
            </w:r>
          </w:p>
          <w:p w:rsidR="00EB7645" w:rsidRPr="00BE00C7" w:rsidP="00BE00C7">
            <w:pPr>
              <w:pStyle w:val="OutcomeDescription"/>
              <w:spacing w:before="120" w:after="120"/>
              <w:rPr>
                <w:rFonts w:cs="Arial"/>
                <w:b w:val="0"/>
                <w:lang w:eastAsia="en-NZ"/>
              </w:rPr>
            </w:pPr>
            <w:r w:rsidRPr="00BE00C7">
              <w:rPr>
                <w:rFonts w:cs="Arial"/>
                <w:b w:val="0"/>
                <w:lang w:eastAsia="en-NZ"/>
              </w:rPr>
              <w:t>ii) Acuity levels;</w:t>
            </w:r>
          </w:p>
          <w:p w:rsidR="00EB7645" w:rsidRPr="00BE00C7" w:rsidP="00BE00C7">
            <w:pPr>
              <w:pStyle w:val="OutcomeDescription"/>
              <w:spacing w:before="120" w:after="120"/>
              <w:rPr>
                <w:rFonts w:cs="Arial"/>
                <w:b w:val="0"/>
                <w:lang w:eastAsia="en-NZ"/>
              </w:rPr>
            </w:pPr>
            <w:r w:rsidRPr="00BE00C7">
              <w:rPr>
                <w:rFonts w:cs="Arial"/>
                <w:b w:val="0"/>
                <w:lang w:eastAsia="en-NZ"/>
              </w:rPr>
              <w:t>iii) Escalation planning;</w:t>
            </w:r>
          </w:p>
          <w:p w:rsidR="00EB7645" w:rsidRPr="00BE00C7" w:rsidP="00BE00C7">
            <w:pPr>
              <w:pStyle w:val="OutcomeDescription"/>
              <w:spacing w:before="120" w:after="120"/>
              <w:rPr>
                <w:rFonts w:cs="Arial"/>
                <w:b w:val="0"/>
                <w:lang w:eastAsia="en-NZ"/>
              </w:rPr>
            </w:pPr>
            <w:r w:rsidRPr="00BE00C7">
              <w:rPr>
                <w:rFonts w:cs="Arial"/>
                <w:b w:val="0"/>
                <w:lang w:eastAsia="en-NZ"/>
              </w:rPr>
              <w:t>iv) On call arrangements</w:t>
            </w:r>
          </w:p>
          <w:p w:rsidR="00EB7645" w:rsidRPr="00BE00C7" w:rsidP="00BE00C7">
            <w:pPr>
              <w:pStyle w:val="OutcomeDescription"/>
              <w:spacing w:before="120" w:after="120"/>
              <w:rPr>
                <w:rFonts w:cs="Arial"/>
                <w:b w:val="0"/>
                <w:lang w:eastAsia="en-NZ"/>
              </w:rPr>
            </w:pPr>
            <w:r w:rsidRPr="00BE00C7">
              <w:rPr>
                <w:rFonts w:cs="Arial"/>
                <w:b w:val="0"/>
                <w:lang w:eastAsia="en-NZ"/>
              </w:rPr>
              <w:t>v) Leave cover for the diversional therapist.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process is documented to formalise safe staffing management that meets all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Castlewood Nursing Home Limited - Castlewood Nursing Home</w:t>
    </w:r>
    <w:bookmarkEnd w:id="58"/>
    <w:r>
      <w:rPr>
        <w:rFonts w:cs="Arial"/>
        <w:sz w:val="16"/>
        <w:szCs w:val="20"/>
      </w:rPr>
      <w:tab/>
      <w:t xml:space="preserve">Date of Audit: </w:t>
    </w:r>
    <w:bookmarkStart w:id="59" w:name="AuditStartDate1"/>
    <w:r>
      <w:rPr>
        <w:rFonts w:cs="Arial"/>
        <w:sz w:val="16"/>
        <w:szCs w:val="20"/>
      </w:rPr>
      <w:t>14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