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Lakeside Lodge Rest Home Limited - Lakeside Retirement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Lakeside Lodge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Lakeside Retirement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September 2017</w:t>
      </w:r>
      <w:bookmarkEnd w:id="7"/>
      <w:r w:rsidRPr="009418D4">
        <w:rPr>
          <w:rFonts w:cs="Arial"/>
        </w:rPr>
        <w:tab/>
        <w:t xml:space="preserve">End date: </w:t>
      </w:r>
      <w:bookmarkStart w:id="8" w:name="AuditEndDate"/>
      <w:r w:rsidR="00A4268A">
        <w:rPr>
          <w:rFonts w:cs="Arial"/>
        </w:rPr>
        <w:t>26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Lakeside Retirement Lodge provides rest home levels of care for up to 30 residents and on the day of the audit there were 28 residents.  The service is managed by an owner/manager.  The residents and relatives interviewed all spoke positively about the care and support provided.</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The service has addressed the two shortfalls from their previous audit around completing interRAI assessments in a timely manner and medication documentation.</w:t>
      </w:r>
    </w:p>
    <w:p w:rsidRPr="00A4268A">
      <w:pPr>
        <w:spacing w:before="240" w:line="276" w:lineRule="auto"/>
        <w:rPr>
          <w:rFonts w:eastAsia="Calibri"/>
        </w:rPr>
      </w:pPr>
      <w:r w:rsidRPr="00A4268A">
        <w:rPr>
          <w:rFonts w:eastAsia="Calibri"/>
        </w:rPr>
        <w:t>This surveillance audit identified that improvements are required around adverse events for suspected head injuries, human resource process, documenting interventions to reflect the residents’ current needs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Families interviewed reported that they are kept informed.  A system for managing complaints is in place. The right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is owned by an owner/manager who is supported by a clinical manager/registered nurse.  Services are planned, coordinated and are appropriate to the needs of the residents.  Quality and risk management processes are established and implemented.  Quality goals are documented and regularly reviewed.  A risk management programme is in place, which includes incident and accident reporting, and health and safety processes.  </w:t>
      </w:r>
    </w:p>
    <w:p w:rsidRPr="00A4268A">
      <w:pPr>
        <w:spacing w:before="240" w:line="276" w:lineRule="auto"/>
        <w:rPr>
          <w:rFonts w:eastAsia="Calibri"/>
        </w:rPr>
      </w:pPr>
      <w:r w:rsidRPr="00A4268A">
        <w:rPr>
          <w:rFonts w:eastAsia="Calibri"/>
        </w:rPr>
        <w:t xml:space="preserve">An orientation programme is in place for new staff.  A staff education and training programme is being implemented.  Registered nursing cover is available either on-site four days a week, or on-call twenty-four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clinical manager/registered nurse (RN) is responsible for each stage of service provision.  The clinical manager assesses and reviews residents' needs, outcomes and goals with the resident and/or family/whānau input.  Care plans viewed in resident records demonstrated service integration.  Resident files included medical notes by the contracted GP and visiting allied health professionals.  1</w:t>
      </w:r>
    </w:p>
    <w:p w:rsidRPr="00A4268A" w:rsidP="00621629">
      <w:pPr>
        <w:spacing w:before="240" w:line="276" w:lineRule="auto"/>
        <w:rPr>
          <w:rFonts w:eastAsia="Calibri"/>
        </w:rPr>
      </w:pPr>
      <w:r w:rsidRPr="00A4268A">
        <w:rPr>
          <w:rFonts w:eastAsia="Calibri"/>
        </w:rPr>
        <w:t xml:space="preserve">The activities coordinator provides an activities programme for the residents that is meaningful, varied, interesting and involves the families/whānau and community.  </w:t>
      </w:r>
    </w:p>
    <w:p w:rsidRPr="00A4268A" w:rsidP="00621629">
      <w:pPr>
        <w:spacing w:before="240" w:line="276" w:lineRule="auto"/>
        <w:rPr>
          <w:rFonts w:eastAsia="Calibri"/>
        </w:rPr>
      </w:pPr>
      <w:r w:rsidRPr="00A4268A">
        <w:rPr>
          <w:rFonts w:eastAsia="Calibri"/>
        </w:rPr>
        <w:t xml:space="preserve">Medication policies comply with legislative requirements and guidelines.  Staff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All meals are prepared on-site.  Food, fridge and freezer temperatures are recorded.  Individual and special dietary needs are catered for.  Residents, family/whānau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(expires 31 May 2018).</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No restraints or enablers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entry to the service.  Complaints forms are readily available in an accessible location.  A record of complaints received is able to be maintained using a complaint’s register.  No complaints have been received since 2011.</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six rest home level residents and families confirmed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based on the principle that residents and their families have a right to know what has happened to them and to be fully informed at all times.  The managers (owner/manager/RN and clinical manager/RN) and care staff interviewed (two caregivers, one activities coordinator) understood the importance of open disclosure and providing appropriate information and resource material when required.  During the audit evidence was sighted of family being contacted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family members interviewed confirmed they are kept informed of the resident`s status, including any events adversely affecting the resident.  Fifteen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Lakeside Retirement Lodge provides care for up to 30 rest home level residents.  On the day of audit there were 28 residents.  All residents were being provided with services under the aged residential care agreement.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is a registered nurse with a background in mental health.  He has worked in aged care since 1996 and has owned Lakeside Retirement Lodge for over 13 years.  His wife, who also is a registered nurse, is the clinical manager.  They both hold current practising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 philosophy, mission, scope and goals of the service are documented in the quality manual and in the information pack that is provided to residents and their families during their admission to the rest home.  Goals are regularly reviewed by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maintained at least eight hours annually of professional development activities related to managing a rest home.  He regularly attends aged care meetings.  The manager and the clinical manager have both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established that is understood by staff, as confirmed during interviews with the managers (owner/manager and clinical manager) and staff (two caregivers, one activities coordinator, one cook).  Policies and procedures have been developed by an external consultant.  They reflect evidence of reviews in 2017.  New policies and updates to existing policies are discussed in staff meetings as evidenced in the monthly staff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maintenance issues, infection control data collection and complaints management.  Data is collected and analysed each month.  Results are shared with staff in staff meetings and are posted in a visible location for staff to read (e.g., number of falls, infections).  The internal audit programme reviewed (April – June 2017 and July – September 2017) reflected full compliance with no areas identified for improvements.  The corrective action process being implemented addresses maintenance issues.  An example of a quality initiative for 2017 has been the installation of a new call bell system.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have recently been reviewed and meet current legislative requirements.  A health and safety officer has been appointed but was not available on the day of the audit.  Staff receive health and safety training, which begins during their induction to the service.  All staff are involved in health and safety, which is a regular topic in the monthly staff meetings.  Specific health and safety meetings are conducted monthly.  Attendance includes the health and safety officer and the manager.  Actual and potential risks are documented on the hazard register, which identifies risks and documents actions to eliminate or minimise the risks.  This internal review was last completed on 12 May 2017.</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the development of specific falls management plans to meet the needs of each resident who is at risk of falling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Incident/accident data is linked to the organisation's quality and risk management programme.  Fifteen accident/incident forms were reviewed.  Unwitnessed falls that may have a head injury are documented by the RN as ‘observed’ with no further details provided.  Each event involving a resident reflected follow-up by either the manager/RN or the clinical manager/RN.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aware of his responsibility to notify relevant authorities in relation to essential notifications with examples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to support good employment practices.  The manager, clinical manager and staff registered nurse practising certificates are current.  Five staff files were reviewed (one RN, two domestic staff, two caregivers) had relevant documentation relating to employment.  There are job descriptions in place although documented evidence to support employees being given copies of job descriptions was not sighted.  There was no documented evidence to support the completion of reference checking potential applicants.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Caregivers interviewed were able to describe the orientation process and believed they were adequately orientated to the service.  An education programme is in place and training occurs at least monthly.  Caregivers administering medications are assessed as competent by a registered nurse.  Staff performance appraisals are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There is a first aid trained staff member on-site at all times during the am and pm shifts but not consistently during the night shifts.  The activities coordinator also has a current first aid certificate.  Two of three RNs have completed their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roster policy is in place to ensure there are sufficient staff on duty to meet the health and personal needs of all residents at all times.  An RN is either on-site or on-call 24 hours a day,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his wife are both RNs.  The manager is on-site five days a week (Monday – Friday) and is on call when not available on-site.  The clinical manager is available four days a week (Monday/Tuesday and Thursday/Friday).  A staff RN is on duty three days a week covering every Wednesday and two weekends on, followed by one weekend off.  She covers both am and pm shifts.  This RN also covers in the absence of the manager and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rostered on the morning (AM) shift Monday – Friday and three caregivers over the weekend.  Two caregivers are rostered on the afternoon (PM) shift and two caregivers are rostered on the night shift.  Caregivers assist with laundry duties.  There are separate cleaning staff Monday – Friday (9am-3pm) and a part-time activities coordinator is employed Monday – Friday from 8.45am to 12.00noon.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staffing is increased if the resident acuity increases.  The manager reported that there has been no reduction in staffing since the pay equity issue has come into effect.  He plans to review the financial viability of the service in early 2018.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relatives confirmed that staffing is adequate to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(including self-medication) that meet legislative requirements.  The facility uses a blister pack medication system.  Medicines are reconciled fortnightly by an RN upon delivery.  Ten medication charts were reviewed.  All senior staff who administer medications had been assessed for competency on an annual basis.  Education around safe medication administration has been provided.  The medication round observed at lunchtime identified issues with the safety of administering medications.  Staff interviewed could describe their role in regard to medicine administration.  Standing orders are not used.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 checks are maintained weekly by the RN and at least six-monthly by pharmacy (last in June 2017).  The medication fridge temperatures are recorded regularly and these are within acceptable ranges.  Expired medications were located in the imprest cupboard.</w:t>
            </w:r>
          </w:p>
          <w:p w:rsidR="00EB7645" w:rsidRPr="00BE00C7" w:rsidP="00BE00C7">
            <w:pPr>
              <w:pStyle w:val="OutcomeDescription"/>
              <w:spacing w:before="120" w:after="120"/>
              <w:rPr>
                <w:rFonts w:cs="Arial"/>
                <w:b w:val="0"/>
                <w:lang w:eastAsia="en-NZ"/>
              </w:rPr>
            </w:pPr>
            <w:r w:rsidRPr="00BE00C7">
              <w:rPr>
                <w:rFonts w:cs="Arial"/>
                <w:b w:val="0"/>
                <w:lang w:eastAsia="en-NZ"/>
              </w:rPr>
              <w:t>All medication charts sampled had been documented correctly by the GP and this is an improvement on previous audit.  The medication charts reviewed identified that the GP had seen and reviewed the resident three-monthly.  Review of signing sheets evidenced administration and signing errors had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employs four staff (two cooks and two kitchen assistants) who cover seven days per week. The main cook oversees food provision.  Both cooks had completed training in food safety and chemical safety.  All meals at Lakeside retirement lodge are prepared and cooked on-site.  There is a four-weekly seasonal menu, which had been reviewed by a dietitian (last February 2016).  Meals are delivered to the dining area adjacent to the kitchen.  Dietary needs are known with individual likes and dislikes accommodated.  Pureed, gluten free, diabetic desserts are provided.  Cultural and religious food preferences are met.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daily.  Food stored in the fridge had been labelled and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care plans were reviewed.  Interventions to guide care were not always documented to reflect current resident needs or updated to reflect a change in health condition.  Long-term care plans were in place for all resident files sampled and were reviewed six-monthly.  Caregivers interviewed were knowledgeable about the resident’s current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(RN and caregivers) follow the care plan and report progress against the care plan at each shift handover.  If external nursing or allied health advice is required, the RN will initiate a referral (eg, to the district nurse, dietitian, physiotherapist).  If external medical advice is required, this will be actioned by the GP.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plans were fully documented for all current wounds.  There were no pressure injuries on the day of audit.  All wounds have been reviewed in appropriate timeframes.  The RN interviewed described access to specialist nursing wound care management advice through the district nursing service or DHB wound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registered nurse and caregivers demonstrated an understanding of the individualised needs of residents.  Care plan interventions did not always document the interventions in sufficient detail to guide the care staff (link# 1.3.5.2).  There was evidence of regular monitoring such as; food and fluids, blood glucose, pain, bowels and weight (monthly or more frequently if required) management.  Progress notes documented fluid intake, effectiveness of pain relief given, regular toileting and hygiene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coordinator (AC) works 20 hours per week and coordinates and delivers the programme 8.45am to 12.00pm Monday to Friday.  A volunteer assists with the programme, attends seven days a week and has done this for more than twelve years.  The activities programme provides individual and group activities that are meaningful and reflect ordinary patterns of life. The monthly programme includes craft, van outings (includes farm visits, visits to Mercer Museum), church services, games, gardening and a daily exercise programme.  Residents attend groups (bowls, cosmopolitan club) in the local community.  Residents and staff prepare and celebrate theme days (costume is worn and themed food and entertainment is provided), kapa haka visit.  On the day of audit, residents were observed actively participating in a variety of activities.  Once a week, residents put forward ideas for activities they would like included for the following week.  The AC brings in antiques (Morse code machine) to encourage reminiscing.  Two residents who previously did not participate, now participate in some activities.  One-on-one activities are provided for residents who are unable or choose not to be involved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 is responsible for the resident’s individual recreational and lifestyle plans, which are developed within the first three weeks of admission.  The resident/family/whānau, as appropriate, are involved in the development of the activity plan.  Resident files reviewed identified that the individual activity plan is reviewed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provide feedback and suggestions for activities individually, or at the resident meetings and via the annual resident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evaluates all initial care plans within three weeks of admission.  Files sampled demonstrated that the long-term care plan were documented and evaluated at least six monthly.  Not all LTCPs had been updated when there was a change in health status (link 1.3.5.2).  There was at least a three monthly review by the GP.  Re-assessments have been completed using InterRAI LTCF for all residents who have had a significant change in health status since 1 July 2015.  Overall, short-term care plans sighted were evaluated and resolved and added to the long-term care plan where the problem was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31 May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and are appropriate to the size and complexity of the facility.  Policies and procedures document infection prevention and control surveillance methods.  The surveillance data is collected and analysed monthly to identify areas for improvement or corrective action requirements. The facility manager (RN) and/or clinical manager and GP review any resident suspected of having an infection.  Specimens are taken where appropriate and sent to the laboratory and a record is maintained in the resident file.  A record of all infections is maintained.  Infection rates have been low.  Trends are identified and quality initiatives are discussed at monthly staff meetings.  Infection control internal audits have been completed.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enablers and the management of challenging behaviours.  No residents were using either a restraint or an enabler. The clinical manager is the restraint coordinator.  Restraint minimisation is a regular agenda item at staff meetings.  Staff receive training around restraint minimisation and safe practice.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56"/>
        <w:gridCol w:w="1280"/>
        <w:gridCol w:w="4493"/>
        <w:gridCol w:w="3278"/>
        <w:gridCol w:w="14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Unwitnessed falls that may have a head injury are documented by the RN as ‘observed’ with no further details provided.  Each event involving a resident reflected follow-up by either the manager/RN or the clinical manager/RN.  Unwitnessed falls that may have a head injury are documented by the RN as ‘observed’ with no further details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fifteen unwitnessed falls did not reflect evidence of neurological observations/vital signs.  The RN documented ‘observed’ only.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neurological observations are completed for any suspected injury to the head.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reviewed contained evidence of an interview but did not include reference checking.  The manager reported that job descriptions are handed to new employees.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to indicate that reference checking is completed before staff are employed.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documented evidence of reference checking being completed for potential applicants.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am and pm shifts are covered by a minimum of one staff who holds a first aid/CPR certificate but the night shift is not consistently covered.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nightshifts indicated that there are no staff available who hold a current first aid/CPR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minimum of one staff available at all times who holds a current first aid/CPR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Senior staff with current medication competencies administer medicines.  The lunchtime medication round was observed.  The medications were reviewed against the medication chart prior to administration, however, shortfalls were identified with administration of medicines.  Expired medications were sited in the imprest cupboard.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shortfalls with medications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(i)On three occasions medications were left with the resident and not observed to be swallowed by the resident.</w:t>
              <w:br/>
              <w:t xml:space="preserve">(ii)On three occasions medication was signed for prior to administration. </w:t>
              <w:br/>
              <w:t>(iii) Five expired medications were found in the imprest cupboard.</w:t>
            </w:r>
          </w:p>
          <w:p w:rsidR="00EB7645" w:rsidRPr="00BE00C7" w:rsidP="00BE00C7">
            <w:pPr>
              <w:pStyle w:val="OutcomeDescription"/>
              <w:spacing w:before="120" w:after="120"/>
              <w:rPr>
                <w:rFonts w:cs="Arial"/>
                <w:b w:val="0"/>
                <w:lang w:eastAsia="en-NZ"/>
              </w:rPr>
            </w:pPr>
            <w:r w:rsidRPr="00BE00C7">
              <w:rPr>
                <w:rFonts w:cs="Arial"/>
                <w:b w:val="0"/>
                <w:lang w:eastAsia="en-NZ"/>
              </w:rPr>
              <w:t>(iv) One resident file (tracer) had medications signed for at dinner and supper time on several dates, however, medications were no longer charted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all medication is administered as per medication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(iii)   Ensure expired medications are discarded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(iv) Ensure only charted medications are signed as given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 informs long-term care plans.  Not all care plans reviewed documented interventions to reflect current resident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resident files reviewed did not document interventions to reflect current changes in care needs or current assessed needs for, however caregivers interviewed could describe current cares for each of the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a resident with high falls risk had no documented falls prevention measures </w:t>
            </w:r>
          </w:p>
          <w:p w:rsidR="00EB7645" w:rsidRPr="00BE00C7" w:rsidP="00BE00C7">
            <w:pPr>
              <w:pStyle w:val="OutcomeDescription"/>
              <w:spacing w:before="120" w:after="120"/>
              <w:rPr>
                <w:rFonts w:cs="Arial"/>
                <w:b w:val="0"/>
                <w:lang w:eastAsia="en-NZ"/>
              </w:rPr>
            </w:pPr>
            <w:r w:rsidRPr="00BE00C7">
              <w:rPr>
                <w:rFonts w:cs="Arial"/>
                <w:b w:val="0"/>
                <w:lang w:eastAsia="en-NZ"/>
              </w:rPr>
              <w:t>ii)  a resident with recurrent UTI had interventions to support management of the UTI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a resident with diabetes on insulin had no documented interventions to manage hypo/hyperglycaemia </w:t>
            </w:r>
          </w:p>
          <w:p w:rsidR="00EB7645" w:rsidRPr="00BE00C7" w:rsidP="00BE00C7">
            <w:pPr>
              <w:pStyle w:val="OutcomeDescription"/>
              <w:spacing w:before="120" w:after="120"/>
              <w:rPr>
                <w:rFonts w:cs="Arial"/>
                <w:b w:val="0"/>
                <w:lang w:eastAsia="en-NZ"/>
              </w:rPr>
            </w:pPr>
            <w:r w:rsidRPr="00BE00C7">
              <w:rPr>
                <w:rFonts w:cs="Arial"/>
                <w:b w:val="0"/>
                <w:lang w:eastAsia="en-NZ"/>
              </w:rPr>
              <w:t>iv) a resident with epilepsy and paranoid behaviour had no interventions re: management of seizure presentations or behaviour management to include de-escalation/distraction techniques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(i-iv) Ensure interventions are documented for all current needs including changes in health status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Lakeside Lodge Rest Home Limited - Lakeside Retirement Lodge</w:t>
    </w:r>
    <w:bookmarkEnd w:id="58"/>
    <w:r>
      <w:rPr>
        <w:rFonts w:cs="Arial"/>
        <w:sz w:val="16"/>
        <w:szCs w:val="20"/>
      </w:rPr>
      <w:tab/>
      <w:t xml:space="preserve">Date of Audit: </w:t>
    </w:r>
    <w:bookmarkStart w:id="59" w:name="AuditStartDate1"/>
    <w:r>
      <w:rPr>
        <w:rFonts w:cs="Arial"/>
        <w:sz w:val="16"/>
        <w:szCs w:val="20"/>
      </w:rPr>
      <w:t>26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