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Wharekaka Trust Board Incorporated - Wharekaka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Wharekaka Trust Board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Wharekaka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October 2017</w:t>
      </w:r>
      <w:bookmarkEnd w:id="7"/>
      <w:r w:rsidRPr="009418D4">
        <w:rPr>
          <w:rFonts w:cs="Arial"/>
        </w:rPr>
        <w:tab/>
        <w:t xml:space="preserve">End date: </w:t>
      </w:r>
      <w:bookmarkStart w:id="8" w:name="AuditEndDate"/>
      <w:r w:rsidR="00A4268A">
        <w:rPr>
          <w:rFonts w:cs="Arial"/>
        </w:rPr>
        <w:t>17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Wharekaka Rest Home Incorporated provides rest home and hospital level care for up to 20 residents. The service is operated by the Wharekaka Trust Board and managed by a general manager and a clinical services manager. A partial provisional audit was conducted last year in response to a request to be able to provide hospital level care. The service now has a contract to provide this service. Residents and families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the trust board chairperson and a general practitioner.</w:t>
      </w:r>
    </w:p>
    <w:p w:rsidRPr="00A4268A">
      <w:pPr>
        <w:spacing w:before="240" w:line="276" w:lineRule="auto"/>
        <w:rPr>
          <w:rFonts w:eastAsia="Calibri"/>
        </w:rPr>
      </w:pPr>
      <w:r w:rsidRPr="00A4268A">
        <w:rPr>
          <w:rFonts w:eastAsia="Calibri"/>
        </w:rPr>
        <w:t>This audit has resulted in one area requiring improvement relating to care planning. Improvements have been made to staff training, review of policies and procedures, registered nurse (RN) recruitment, obtaining an updated fire evacuation plan, corrective action planning and infection prevention and control, addressing those areas requiring improvement at the previous certification and partial provisional audits.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was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philosophy of care and core values of the organisation. Monitoring of the services provided to the governing body is regular and effective. A non-clinical general manager is supported by the clinical nurse manager in the management of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An internal audit programme is in place. Staff are involved in quality improvement activities and feedback is sought from residents and families. Adverse events are documented with corrective actions implemented. Actual and potential risks, including health and safety risks, are identified and mitigated.  Policies and procedures support service delivery and are now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nurse practitioner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The organisation uses an electronic medication management system. Medicines are safely managed and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Food is safely managed.  Menus are reviewed by a qualified dietitian. Residents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and an updated fire evacuation plan has been approved.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One enabler and three restraints are in use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aims to prevent and manage infections. The clinical nurse manager holds the infection prevention coordinator role and undertakes relevant training annually. The programme is reviewed annually. Specialist infection prevention and control advice is accessed when needed. There is a range of infection prevention and control systems in place. </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 xml:space="preserve">Aged care specific infection surveillance is undertaken, and results reported through staff meetings and the trust board. Follow-up action is taken as and when required and was evident in meeting minutes.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Forms are available in reception where a suggestions and complaints box is also located.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one complaint has been received over the past year and that action taken, through to an agreed resolution, was well documented and completed within the timeframes. The general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or 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which are available through the Wairarapa DHB, however the service reported this was rarely required due to all current residents able to speak English and the rural community served by the facility being predominantly made up of New Zealand Europeans.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new five year strategic plan had been signed off by the board in the month before audit. The documents reviewed described annual and longer term objectives and the associated operational plans. A sample of monthly reports to the board of trustees showed detailed information to monitor performance is reported including financial performance, emerging risks and issues and staffing. The board chairperson reported she meets on a weekly basis with the general manager to discuss any matters that may arise and reports communication and information flow from her is excellent.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general manager (GM) who holds relevant qualifications and has been in the role for ten years. Responsibilities and accountabilities are defined in a job description and individual employment agreement.  The GM confirms knowledge of the sector, regulatory and reporting requirements and maintains currency through regular networking, business and quality seminars as well as on going involvement with the New Zealand Aged Care Association. The clinical nurse manager (CNM) has had experience in working in the aged care sector for a number of years.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residential aged care, health recovery, respite and palliative care. Twenty residents were receiving services under the contract, six hospital level and 14 rest home level care at the time of audit. No residents are currently receiving care under the palliative care, respite or health recovery contracts.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a regular resident satisfaction survey, monitoring of outcomes, clinical incidents, including infections, and health and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with the management team, at monthly governance and staff meetings. Staff reported their involvement in quality and risk management activities through the internal audit activity and the regular discussions at staff meetings. Relevant corrective actions are now being regularly developed and implemented to address any shortfalls that are identified through the internal audits and quality reporting process. Resident and staff meeting minutes now record progress on any corrective actions and sign off when these are completed. Resident and family satisfaction surveys are completed annually. The most recent survey showed there was concern about the lack of room in the van providing transport planned for outings. This has been addressed with the purchase of a second van that is also able to accommodate wheelchair users, which has alleviated the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These have also been updated to reflect the requirements for the provision of hospital level care.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described the processes for the identification, monitoring, review and reporting of risks and development of mitigation strategies. The GM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An electronic system in use provides graphs and summaries of the clinical indicators.  All adverse event data is collated, analysed and reported to management, staff and monthly to the board. Records reviewed showed the recording of incidents followed the facility process and that families were also notified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described essential notification reporting requirements, including for pressure injuries. She advised there has been one notification of a significant event made to the Ministry of Health since the previous audit. This was reviewed and evidenced the required process was followed.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 staff member is currently training to be an internal assessor for the programme. The facility currently shares resources with another local trust who have an internal assessor to provide support. Training has now been completed in dementia care, respiratory services and palliative care for clinical and care staff to meet the requirements for the provision of hospital level care.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policy and procedure for determining staffing levels and skill mixes to provide safe service delivery, 24 hours a day, seven days a week (24/7). The CNM completes the rosters and adjusts staffing levels to meet the changing needs of residents. This is informed by acuity levels of current residents and feedback from staff. An afterhours on call roster is in place, with staff reporting that good access to advice is available when needed. Care staff reported there were adequate staff available to complete the work allocated to them; however, they reported the requirement to also do facility laundry does put additional pressure on staff. The outsourcing of this is currently being investigated by the GM. Residents and family members interviewed reported staff are always readily available. Observations and review of a two-week roster cycle confirmed adequate staff cover has been provided, with staff replaced in any unplanned absence. At least one staff member on duty has a current first aid certificate and there is 24//7 RN coverage in the hospital as is required by their new contract for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electronic authorisation signature and date recorded on the commencement and discontinuation of medicines and all requirements for pro re nata (PRN) medicines met. The required three-monthly GP review was consistently recorded on the medicine chart. The facility does not use any standing orders.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at the time of audit. Processes are in place to follow for residents who wish to self-administer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comprehensive analysis of any medication errors.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full time cook and a weekend cook and is in line with recognised nutritional guidelines for older people. The menu follows a summer and winter patterns and was last reviewed by a qualified dietitian in April 2017 (sighted).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dated February 2016. Food temperatures, including for high risk items, are monitored appropriately and recorded as part of the plan. The cook has undertaken a New Zealand Qualification Authority (NZQA) safe food handling qualification and undertakes inhouse training, including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A dietary profile is undertaken for each resident on admission to the facility and the personal food preferences, any special diets and modified texture requirements are made known to kitchen staff and accommodated in the daily meal plan. The kitchen caters for a range of dietary requirements including diabetics and soft diets. Special equipment such as lipped plates, is available to meet resident’s nutritional needs.</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the six-week follow-up audit, annual satisfaction surveys and informal feedback. Residents interviewed expressed satisfaction with the meals provided and acknowledged that their individual preferences were accommodated. Residents were seen to be given sufficient time to eat their meal in an unhurried fashion and those requiring assistance had this provided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most residents was consistent with their needs, goals and the plan of care. The attention to meeting a diverse range of resident’s individualised needs was evident in most of the areas of service provision. There is minimal documentation of interventions to meet some resident’s needs and desired outcomes. The GP interviewed, verified that medical input is sought in a timely manner, that medical orders are followed, and care is of a high standard. Care staff confirmed that care was mostly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diversional therapist who is assisted by a volunteer and the Trust Auxiliary.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There is a full and varied activities programme in place which is appropriate to the level of participation from residents. Individual, group activities and regular events, such as, pilates, van outings, quiz, newspaper readings are offered. On the day of audit residents were observed being actively involved with a variety of activities. Residents and families/whānau are involved in evaluating and improving the programme through the six-week follow-up audit, annual satisfaction surveys and informal feedback. Residents and families interviewed voiced their satisfaction for the activities programme and felt that recreational needs were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Care plans reviewed had been evaluated at least every six months in conjunction with the six-monthly interRAI reassessment, or as residents’ needs change. Where progress is different from expected, the service does not show response by initiating changes to the plan of care (Refer criterion 1.3.6.1). Examples of short term care plans being consistently reviewed and progress evaluated as clinically indicated were noted for urinary tract infections, respiratory tract infections, wounds, and wandering behaviours. When necessary, and for unresolved problems, long term care plans are added to and updated. Residents and families/whānau interviewed provided examples of involvement in evaluation of progress and any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30 June 2018) is publicly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updated approved evacuation plan dated 19 December 2016 was sighted. This was required following the move to provide hospital level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recently developed, to minimise the risk of infection to residents, staff and visitors. The programme is guided by a comprehensive and current infection control manual, with input from an external provider.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the designated IPC coordinator, whose role and responsibilities are defined in a job description. Infection control matters, including surveillance results, are reported monthly to the infection control committee, the general manager, and the Trust board (results and reports sighted). This infection committee includes the IPC coordinator and two other care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at the main entrance to the facility requests anyone who is, or has been unwell in the past 48 hours, not to enter the facility. The infection control manual provides guidance for staff about how long they must stay away from work if they have been unwell.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skin, eye, fungal, gastro-intestinal, the upper and lower respiratory tract and scabies. The IPC coordinator reviews all reported infections, and these are documented.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(reports sighted). Results of the surveillance programme are shared with staff via regular staff meetings and at staff handovers. Graphs are produced that identify trends for the current year and this is reported to the IPC committee, the general manager and the Trust board. Data is benchmarked externally with other aged care providers. Benchmarking has provided assurance that most infection rates in the facility are below average for the sector.</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shingles infection outbreak was reviewed and demonstrated a thorough process for investigation and follow up including consultation with the infection control team from the DHB. Learnings from the event have been discussed with staff and are being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three residents were using restraints and one residents was using an enabler, which were the least restrictive and used voluntarily at their request.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three monthly restraint approval review group minutes, files reviewed, and from interviews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14"/>
        <w:gridCol w:w="1280"/>
        <w:gridCol w:w="5626"/>
        <w:gridCol w:w="3827"/>
        <w:gridCol w:w="15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two out of five care plans reviewed did not demonstrate interventions to meet all assessed residents’ needs. For example, one hospital resident (refer 1.3.3) did not have interventions documented in sufficient detail for the management of a high-pressure injury risk and a current pressure injury in place. One rest home resident (refer 1.3.3) with a significant medical condition, did not have interventions documented in sufficient detail to guide the care staff in the care plan. Despite this staff interviews reflected awareness of interventions required to meet the assessed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there are identified assessed needs, the interventions in the care plans are not consistent with nor contribute to meeting the residents’ needs.  In the files sampled, two of the five care plans had not been updated following a change in health condition, and not all interventions for assessed care needs were being documented or documented in sufficient detail to guide the care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interventions are documented for all assessed care needs, in sufficient detail to guide the care staff, and that all interventions in use are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Wharekaka Trust Board Incorporated - Wharekaka Rest Home</w:t>
    </w:r>
    <w:bookmarkEnd w:id="58"/>
    <w:r>
      <w:rPr>
        <w:rFonts w:cs="Arial"/>
        <w:sz w:val="16"/>
        <w:szCs w:val="20"/>
      </w:rPr>
      <w:tab/>
      <w:t xml:space="preserve">Date of Audit: </w:t>
    </w:r>
    <w:bookmarkStart w:id="59" w:name="AuditStartDate1"/>
    <w:r>
      <w:rPr>
        <w:rFonts w:cs="Arial"/>
        <w:sz w:val="16"/>
        <w:szCs w:val="20"/>
      </w:rPr>
      <w:t>17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