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Tony And Cora Noblejas Limited - Christina's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Tony and Cora Noblejas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Christina's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2017</w:t>
      </w:r>
      <w:bookmarkEnd w:id="7"/>
      <w:r w:rsidRPr="009418D4">
        <w:rPr>
          <w:rFonts w:cs="Arial"/>
        </w:rPr>
        <w:tab/>
        <w:t xml:space="preserve">End date: </w:t>
      </w:r>
      <w:bookmarkStart w:id="8" w:name="AuditEndDate"/>
      <w:r w:rsidR="00A4268A">
        <w:rPr>
          <w:rFonts w:cs="Arial"/>
        </w:rPr>
        <w:t>6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Christina’s Rest Home provides rest home and hospital level care for up to 21 residents. The service is operated privately by the owner/manager who is a registered nurse. They have owned and operated the service for the past 27 years.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owner/manager, staff, and a general practitioner.  </w:t>
      </w:r>
    </w:p>
    <w:p w:rsidRPr="00A4268A">
      <w:pPr>
        <w:spacing w:before="240" w:line="276" w:lineRule="auto"/>
        <w:rPr>
          <w:rFonts w:eastAsia="Calibri"/>
        </w:rPr>
      </w:pPr>
      <w:r w:rsidRPr="00A4268A">
        <w:rPr>
          <w:rFonts w:eastAsia="Calibri"/>
        </w:rPr>
        <w:t xml:space="preserve">This audit has resulted in no areas identified for improvement. There were no areas identified for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formal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and objectives include the scope, direction, goals and values of the organisation.  Monitoring of the services provided is undertaken by the owner/manager on a regular basis.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w:t>
      </w:r>
    </w:p>
    <w:p w:rsidRPr="00A4268A">
      <w:pPr>
        <w:spacing w:before="240" w:line="276" w:lineRule="auto"/>
        <w:rPr>
          <w:rFonts w:eastAsia="Calibri"/>
        </w:rPr>
      </w:pPr>
      <w:r w:rsidRPr="00A4268A">
        <w:rPr>
          <w:rFonts w:eastAsia="Calibri"/>
        </w:rPr>
        <w:t xml:space="preserve">Policies and procedures developed by an off-site organisation are personalised to Christina’s Rest Home to support service delivery. They were current and have been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and contractual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The nurse manager works Monday to Friday and is on call 24 hours each day. The nurse manager is supported by care staff and allied health staff and a designated contracted general practitioner. Shift handovers and communication sheets guide continuity of care.</w:t>
      </w:r>
    </w:p>
    <w:p w:rsidRPr="00A4268A" w:rsidP="00621629">
      <w:pPr>
        <w:spacing w:before="240" w:line="276" w:lineRule="auto"/>
        <w:rPr>
          <w:rFonts w:eastAsia="Calibri"/>
        </w:rPr>
      </w:pPr>
      <w:r w:rsidRPr="00A4268A">
        <w:rPr>
          <w:rFonts w:eastAsia="Calibri"/>
        </w:rPr>
        <w:t xml:space="preserve">Care plans are individualised, based on an integrated range of clinical information. Short term care plans are developed to manage any new problems that might arise. All residents` records reviewed demonstrated that needs, goals, interventions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supports a restraint free environment. No enablers and no restraints are in use at the time of audit.  An assessment, approval and monitoring process is identified in policy should restraint be required. Policy states that the use of enablers is voluntary for the safety of residents in response to individual requests. Staff demonstrated a sound knowledge and understanding of the restraint approval process and the management of challenging behaviour without the need for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Aged specific infection surveillance is undertaken, analysed, trended and results are reported through all levels of the organisation. Follow-up action is taken as and when required. The surveillance programme for this rest home is appropriate for the size and nature of services provided.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2"/>
        <w:gridCol w:w="1280"/>
        <w:gridCol w:w="101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over the past year. Minor concerns, such as food dislikes, are recorded in a concerns register and it showed that actions taken, through to an agreed resolution, are documented and completed within the timeframes.  Action plans show any required follow up and improvements have been made where possible.  The owner/manager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the residents` records reviewed. There is also evidence of resident/family input into the care planning process. Staff understood the principles of open disclosure, which is supported by policies and procedures that meet the requirement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CMDHB when required. Staff knew how to do so if needed, although this was rarely required due to staff who are able to provide interpretation as and when needed and the use of family members,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business plans, which are reviewed annually, outline the purpose, values, scope, direction and goals of the organisation. The documents describe annual objectives and the associated operational plans. A sample of monthly reporting against organisational goals and an annual review of all quality data undertaken by the owner/manager showed adequate information to monitor performance. This included quality data, occupancy, staffing,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owner who is a registered nurse and has been in the role for 27 years. She attends regular clinical and non-clinical education/training sessions both on and off site. The owner/manager confirmed knowledge of the sector, regulatory and reporting requirements and maintains currency through attendance at appropriate District Health Board workshops and via age care organisations’ educational sessions.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Counties Manukau District Health Board (CMDHB) and the Ministry of Health (MoH) for Residential Non-Aged Care.  Sixteen residents were receiving services under the CMDHB Age Related Residential Care contract and one resident was under the MOH contract at the time of audit. The CMDHB also place residents in the facility under the Primary Options for Acute Care (POAC) contract at times during the year, but there were no residents under this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falls, challenging behaviour and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meetings. The owner/manager reviews all monthly quality data and trends it against previously collected data. Full annual reviews at governance level are clearly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and implementation of corrective actions. Relevant corrective actions are developed and implemented to address any shortfalls. Resident and family satisfaction surveys are completed annually. The most recent survey (September 2017) showed that families and residents are satisfied with the services offered. The only negative comment sighted from one resident was related to meals not always being ‘tasty’. This was followed up using the minor concerns process. The owner/manager discussed the resident’s meal preference with the resident and gained a positive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developed by an off-site organisation and are personalised to Christina’s Rest Home. They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described the processes for the identification, monitoring, review and reporting of risks and development of mitigation strategies. The manager is familiar with the Health and Safety at Work Act (2015) and has implemented requirements.  Staff confirmed during interview that any new hazard is reported using a specific form which also identifies the actions taken to mitigate the risk. The hazard register covers care and overall services, external risks, cleaning and laundry and the kitchen. This is reviewed by the owner/manager in June each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All seven incident and accident forms for 2017 were reviewed. They showed these were fully completed, incidents were investigated, action plans developed and actions followed-up in a timely manner.  There were no incidents or accidents for the months of February, April or June of 2017. Adverse event data is collated, analysed and reported to the owner/manager. Staff confirmed a very low incident and accident rate and that they document all events. They feel it is very low owing to the residents being rest home level care and mostly independent with their mobility.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described essential notification reporting requirements, including for pressure injuries.  They advised there have been no notifications of significant events made to the Ministry of Health, since the previous audit. Nor have there been any police investigations, coroner’s inquests, issues based audits and any other notifications, such as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five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bi-annual basis, including mandatory training requirements. Care staff have either completed or commenced a New Zealand Qualification Authority education programme to meet the requirements of the provider’s agreement with the DHB. The owner/manager confirmed all caregivers are at least level two with one caregiver holding level four status. Staff reported during interview that they have sufficient and appropriate training for the roles they undertake.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holds a current nursing practising certificate and is trained and maintains her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The staffing level of experience and education meets the requirements of the DHB contractual requirements. The owner/manager is on call afterhours, with staff reporting that good access to advice is available when needed.   Care staff reported there were adequate staff available to complete the work allocated to them.  Residents and family interviewed supported this. Observations and review of a four-week roster confirmed adequate staff cover has been provided, with staff replaced in any unplanned absence.  (Staff replacement is shown in the owner/manager’s diary).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six days a week. A gardener is contracted for a minimum of eight hours per week. Caregivers undertake laundry duties as part of their daily schedules.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staff observed demonstrated good knowledge and had a clear understanding of their roles and responsibilities related to each stage of medicine management. All senior care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pre-packed format from a contracted pharmacy. These medications are checked by the nurse manager against the prescription when delivered from the pharmacy. All medications sighted were within current use by dates. Legislative requirements are met. There is no designated medication room due to the size of this facility. A small locked cupboard is available in the locked nurse office. A medication trolley is available and this is locked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within the normal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being recorded on the commencement and discontinuation of medicines and all requirements for pro re nata (PRN) medicines being met. The required three monthly GP review is consistently recorded on the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are in place to ensure this is managed in a safe manner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nurse manager and recorded on an incident form. The resident and/or the designated representative are advised. There is a process for analysis of any medication errors, and compliance with this process was verified. There were no standing orders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foodservice is provided on site by staff. Meals are prepared in line with recognised nutritional guidelines for older people. The menu audit occurred 04 July 2017. The menu follows summer and winter patterns and has been reviewed by a qualified dietitian within the last two years. Any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staff have completed hand hygiene training. The nurse manager is responsible for all food prepared in the kitchen, purchasing special equipment if required and managing the staff who work in the kitchen. The care staff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is developed. The personal food preferences, any special diets and modified texture requirements are made know to the kitchen staff and accommodated in the daily menu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the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senior caregiver who maintains the programme. A social/personal history and interests assessment is completed on admission to ascertain residents` needs, interests, abilities and social requirements. Activities assessments are regularly reviewed to help formulate an activities programme that is meaningful to the residents. The resident`s activity needs are evaluated six monthly and as part of the formal six monthly care plan review and interRAI reassessment.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 residents` goals, ordinary patterns of life and includes normal community activities. Individual or group activities and regular events are offered. All staff assist with the programme. The programme includes bingo, music sessions, cultural events, entertainment and other activities. The residents’ meetings are held two monthly and an advocate visits six monthly. The activities programme is discussed at the resident`s meeting and the minutes reviewed indicated that the residents` input was sought and responded to. Resident and family satisfaction surveys demonstrated satisfaction with the programme and that information is used to improve the range of activities offered. Residents interviewed confirmed that they enjoyed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records. If any change is noted, it is reported to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 occur every six months in conjunction with the six monthly interRAI reassessment or as residents` needs change. Evaluations are documented by the nurse manager. Where different from expected, the service responds by initiating changes to the plan of care. Examples of short term care plans were consistently reviewed for wound care and weight loss and progress was evaluated as clinically indicated and according to the degree of risk noted during the assessment process. Resident and families interviewed provided examples of involvement with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16 March 2018) is publicly displayed.  The facility footprint has not changed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on symptoms rather than laboratory results. These include urinary tract, soft tissue, fungal, eye, gastro-intestinal, the upper and lower respiratory tract and skin infections. When an infection is identified, a record is documented on the infection reporting form. The nurse manager reviews all reported infections. Monthly surveillance data is collated and analysed to identify any trends, possible causative factors and any required actions. Results of surveillance are shared with staff via the staff meetings as confirmed by sighting the minutes of the meetings held and at handover between shifts. Graphs are produced to identify any trends and compared against the previous month. Data and audit results were compared annually. </w:t>
            </w:r>
          </w:p>
          <w:p w:rsidR="00EB7645" w:rsidRPr="00BE00C7" w:rsidP="00BE00C7">
            <w:pPr>
              <w:pStyle w:val="OutcomeDescription"/>
              <w:spacing w:before="120" w:after="120"/>
              <w:rPr>
                <w:rFonts w:cs="Arial"/>
                <w:b w:val="0"/>
                <w:lang w:eastAsia="en-NZ"/>
              </w:rPr>
            </w:pPr>
            <w:r w:rsidRPr="00BE00C7">
              <w:rPr>
                <w:rFonts w:cs="Arial"/>
                <w:b w:val="0"/>
                <w:lang w:eastAsia="en-NZ"/>
              </w:rPr>
              <w:t>No outbreaks have been reported. Residents sign a consent form for any vaccinations such as the influenza vaccinations administered annually. No vaccines are stored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they be required. The owner/manager is the restraint coordinator and provides support and oversight for enabler and restraint management in the facility as required. She demonstrated a sound understanding of the organisation’s policies, procedures and practice and her role and responsibilities. Christina’s operates a restraint 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This was confirmed in the meeting minutes sighted and in the annual review of quality data. Policy states that enablers will be the least restrictive and used voluntarily at their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their knowledge and understanding of managing challenging behaviour without the use of restraint.  (Education occurred in February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gate into the car park but the walking gate is not locked and residents are free to leave the premises as they choose.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Tony And Cora Noblejas Limited - Christina's Rest Home</w:t>
    </w:r>
    <w:bookmarkEnd w:id="58"/>
    <w:r>
      <w:rPr>
        <w:rFonts w:cs="Arial"/>
        <w:sz w:val="16"/>
        <w:szCs w:val="20"/>
      </w:rPr>
      <w:tab/>
      <w:t xml:space="preserve">Date of Audit: </w:t>
    </w:r>
    <w:bookmarkStart w:id="59" w:name="AuditStartDate1"/>
    <w:r>
      <w:rPr>
        <w:rFonts w:cs="Arial"/>
        <w:sz w:val="16"/>
        <w:szCs w:val="20"/>
      </w:rPr>
      <w:t>6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