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Hodgson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Hodgson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2017</w:t>
      </w:r>
      <w:bookmarkEnd w:id="7"/>
      <w:r w:rsidRPr="009418D4">
        <w:rPr>
          <w:rFonts w:cs="Arial"/>
        </w:rPr>
        <w:tab/>
        <w:t xml:space="preserve">End date: </w:t>
      </w:r>
      <w:bookmarkStart w:id="8" w:name="AuditEndDate"/>
      <w:r w:rsidR="00A4268A">
        <w:rPr>
          <w:rFonts w:cs="Arial"/>
        </w:rPr>
        <w:t>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Hodgson House provides rest home and hospital level care for up to 64 residents. The service is operated by Heritage Lifecare Limited and managed by a facility manager and a clinical services manager. </w:t>
      </w:r>
    </w:p>
    <w:p w:rsidRPr="00A4268A">
      <w:pPr>
        <w:spacing w:before="240" w:line="276" w:lineRule="auto"/>
        <w:rPr>
          <w:rFonts w:eastAsia="Calibri"/>
        </w:rPr>
      </w:pPr>
      <w:r w:rsidRPr="00A4268A">
        <w:rPr>
          <w:rFonts w:eastAsia="Calibri"/>
        </w:rPr>
        <w:t xml:space="preserve">The surveillance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This audit has resulted in no areas requiring improvement.  Those areas requiring improvement at the previous audit have been addressed. These related to completion of annual performance appraisals, completion of care plans including all identified support needs, controlled drug administration, and aspects of food preparation and storage not being compliant with guidelines.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residents’ files indicated that it is practised when required. Family members interviewed confirmed this. There is access to interpreter services if required.  </w:t>
      </w:r>
    </w:p>
    <w:p w:rsidRPr="00A4268A">
      <w:pPr>
        <w:spacing w:before="240" w:line="276" w:lineRule="auto"/>
        <w:rPr>
          <w:rFonts w:eastAsia="Calibri"/>
        </w:rPr>
      </w:pPr>
      <w:r w:rsidRPr="00A4268A">
        <w:rPr>
          <w:rFonts w:eastAsia="Calibri"/>
        </w:rPr>
        <w:t>A complaints register is maintained and complaints, when lodged, are responded to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The facility manager has been in her position for two years and has 20 years of management experience. The clinical services manager is an experienced registered nurse with a current practising certificate, who has been in her role for one year. Both the managers are supported by senior managers from Heritage Lifecare Limited’s head office.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in this process through regular meetings. Adverse events are documented with corrective actions implemented. Actual and potential risks, including health and safety risks, are identified and mitigated.  Policies and procedures support service delivery,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 comprehensive assessment, approval and monitoring process with regular reviews occurs if enablers are requested. On the day of the audit there were no residents using enablers.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data is analysed and results reported and communicated to staff at the staff meetings.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complaints have been received so far this calendar year and that actions taken are documented and completed within the required timeframes.  Seven of the nine complaints have been managed through to an agreed resolution. The two other complaints are in the early stages of the investigation and communication with the complainants has been timely and appropriate to date. </w:t>
            </w:r>
          </w:p>
          <w:p w:rsidR="00EB7645" w:rsidRPr="00BE00C7" w:rsidP="00BE00C7">
            <w:pPr>
              <w:pStyle w:val="OutcomeDescription"/>
              <w:spacing w:before="120" w:after="120"/>
              <w:rPr>
                <w:rFonts w:cs="Arial"/>
                <w:b w:val="0"/>
                <w:lang w:eastAsia="en-NZ"/>
              </w:rPr>
            </w:pPr>
            <w:r w:rsidRPr="00BE00C7">
              <w:rPr>
                <w:rFonts w:cs="Arial"/>
                <w:b w:val="0"/>
                <w:lang w:eastAsia="en-NZ"/>
              </w:rPr>
              <w:t>Action plans showed any required follow up and improvements have been made where possible.  The facility manager is responsible for complaints management and follow up. In her absence, the clinical services manager takes over this role and this occurred earlier this year. Review of the complaints register and folder demonstrated that both managers have responded promptly to complainants, correspondence is respectful and appropriate. Heritage Lifecare Limited’s (HLL’s) policies and procedures are being followed and residents are able to access a fair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All current residents speak English and do not require assistance to communicate verbally. The facility manager and quality coordinator gave an example of a resident with English as a second language for whom interpreter services were needed. These were accessed via a staff member who spoke the same language and the resident’s family. A community organisation, available locally, can provide interpreting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business plan, in HLL’s format, which outlines the purpose, values, scope, direction and goals of the organisation. The document describes annual objectives and the associated operational plans for Hodgson House. A sample of the facility manager’s weekly reports to the senior management team showed adequate information to monitor performance is reported including occupancy, financial performance, emerging risks and issues, and variations to expected service delivery when this is relevant. A monthly report is sent by the clinical services manager with clinical (quality) indicators and these were also reviewed. Both the facility manager and clinical services manager are reporting appropriately to HLL support office, identifying risks and escalating issues when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has been in the role at Hodgson House for two years. She is being supported by an HLL Operations manager for the area. She has 20 years of management experience in a range of sectors including social services and aged care. Responsibilities and accountabilities are defined in a job description and individual employment agreement.  There is a clinical services manager who has been at Hodgson House for one year. Prior to this she was a RN in different specialties, including most recently as a wound care nurse in Tauranga. She maintains her practising certificate and currency of her knowledge through attending internal clinical training, relevant external training and any other appropriate training considered suitable for her position at Hodgson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Aged related Residential Care, Age Related Hospital Care, palliative care and long term chronic health conditions (LTCHC) with the local District Health Board (DHB) ).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60 residents were receiving services. 27 residents were receiving rest home care and 33 residents were receiving hospital care. Of the 27 rest home, residents all were under the Age Related Residential Care Contract. Of the 33 residents receiving hospital level care, four were under the contract for palliative care and 29 were under the Age Related Hospital Services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regular resident meetings, monitoring of clinical indicators, incidents and accidents, infections, pressure injuries, falls (with and without injury) staff incidents and health and safety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confirmed regular review and analysis of quality indicators. There is monthly reporting to (HLL) support office. Graphed information about indicators across the calendar year is discussed at the monthly quality and risk/ infection prevention and control/health and safety meetings (Q&amp;R/IPC/H&amp;S), registered nurse (RN) meetings, and the staff meetings. A range of staff members reported their involvement in these different meetings. HHL support office has been providing graphed summaries available since they took over.  Staff members reported discussions of summaries of data under the previous owner and are looking forward to receiving this information again. Regular internal audit activities occur each month against a schedule of internal audits. The results are discussed at the Q&amp;R/IPC/H&amp;S meetings. Any new or ongoing corrective actions are also discussed and noted during these meetings and progress noted in the minutes. Meetings with residents are held regularly and they are able to raise and discuss any concerns or issues they have.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facility wide internal audit was conducted by the senior manager quality and compliance and the quality and compliance coordinator from HLL’s support office.  This identified some areas requiring improvement and these are noted in the Q&amp;R/IPC/H&amp;S meeting minutes. The most recent Q&amp;R/IPC/H&amp;S meeting minutes recorded discussion of this internal audit and the actions to be taken. This includes sharing of summarised quality improvement data, and ensuring all residents’ files are in a consistent order.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assessments and other contracts held by this facility.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organisation has policies and procedures which provide guidance on the Health and Safety at Work Act (2015) and has implemented its requirements.  A sample of weekly reports to HLL support office were reviewed in which various business risks from the current business plan were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HLL support office each month. A selection of these reports was sighted for 2017, from the time HLL took over the ownership of the facility. Records from the time of the previous owner were also available and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quality coordinator described the essential notification reporting requirements, including for pressure injuries.  Examples of notifications of significant events made to the Ministry of Health, since the previous audit, were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annual practising certificates (APCs), where required.  Records were reviewed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new employee’s role.  Staff records reviewed show documentation of completed orientation and a performance review after three-months and then annually thereafter.  There has been a focus on addressing a backlog in performance appraisals noted at the provisional audit in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with mandatory training requirements being covered in addition to any site specific needs.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(four, including one registered nurse completing their competency assessments as part of their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demonstrated completion of the scheduled training. The quality coordinator is responsible for planning and coordinating the education programme and was interviewed during the audit. She follows the HLL’s generic training plan and schedules additional sessions on topics based on residents’ needs. The 2017 education plan was reviewed along with attendance records and completed competencies for a selection of staff. These were comprehensive and well organized records demonstrating consistent implementation of the training plan and attendance by staff. The quality coordinator is an enrolled nurse and has worked at Hodgson House for 20 years. She has a sound understanding of the education needs of the facility to meet their contractual requirements and their scope of certification.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confirmed that they have access to an appropriate range of education to support them in their roles.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using the Indicators for Safe Aged Care and Dementia Care for Consumers handbook.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Care staff reported concerns with the new rosters which had been in place for 10 days on the day of the audit. Residents and family interviewed supported this view.  The facility’s general practitioner reported that he has is satisfied with the care provided, is called appropriately and staff members always have the necessary documentation available when he is contacted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annual resident satisfaction survey had been sent out at the beginning of August and on the day of the audit 14 responses have been returned. (The responses had not been collated or analysed on the day of the audit because this task was not due to be completed yet.) Analysis of the responses indicated that the majority of respondents were either satisfied or very satisfied.Narrative comments about a range of aspects of the service were provided. The 2016 resident survey, conducted by the previous owner, was also reviewed.  There had been 26 respondents to this survey. The results were largely favourable with 80% of respondents indicating they were satisfied or very satisfied. The comments made in this survey were very similar when compared with the comments from the 2017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this audit residents and family members interviewed expressed some concerns about the changes with the transition to the new owners; however, they also spoke positively about the care provided. The general practitioner (GP) for the facility reported that he was comfortable with the standard of care being provided by the care staff. Review of clinical indicators confirmed the GP’s comments that care is of an appropriate standard. Indicators are below the thresholds given and there is appropriate monitoring of the facility by HLL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fortnight’s roster indicated that adequate staff cover is provided, with staff replaced in any unplanned absence.  At least one staff member on duty has a current first aid certificate and there is 24 hour/seven days a week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the management of controlled drugs is in line with best practice.  The corrective action is now addressed and records were available to demonstrate that 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A recent internal audit identified that ten residents’ medication charts did not have an identifying photo of the resident.  A corrective action plan is currently in place to resolve this issue.  At the time of audit four of ten medication charts reviewed did not evidence a resident’s photo, however each medication folder identified the resident in a photo.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kitchen services manager has undertaken a safe food handling qualification, with kitchen assistants completing relevant food handling training. The previous audit identified an area for improvement to ensure that all aspects of food preparation and storage meet current guidelines.  The corrective action is now addressed as was verified in records reviewed and observations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The previous audit identified an area for improvement to ensure that lifestyle service delivery care plans describe fully all required support needed, as identified in the assessment process.  The corrective action has been addressed as demonstrated in the residents’ files reviewed, including evidence of an internal audit conducted in October 2016 to support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were followed, and care is appropriate.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holding the national Certificate in Diversional Therapy, and an activities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of all ages. The resident’s activity needs are evaluated monthly,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 normal community activities. Individual, group activities and regular events are offered. Residents and families/whānau are involved in evaluating and improving the programme through day to day discussions with residents, residents’ meetings and satisfaction surveys. Residents interviewed confirmed they find the programme interactive.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January 2018 and it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There are internal audits which monitor the environment, equipment and fire and evacuation systems. The environment was hazard free on the day of the audit. Residents reported that they are safe and that their independence is promoted.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were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senior manager compliance and quality.  Data is benchmarked externally to Hodgson House with facilities across the HLL group. This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an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using enablers. At interview, the restraint coordinator who is the CSM, provided a clear understanding of the organisation’s restraint minimisation policies and procedures. There is emphasis on the least restrictive option being used for restraints and all enablers being used voluntarily at a resident’s request. This understanding was also demonstrated by the staff member who is responsible for planning the education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Hodgson House</w:t>
    </w:r>
    <w:bookmarkEnd w:id="58"/>
    <w:r>
      <w:rPr>
        <w:rFonts w:cs="Arial"/>
        <w:sz w:val="16"/>
        <w:szCs w:val="20"/>
      </w:rPr>
      <w:tab/>
      <w:t xml:space="preserve">Date of Audit: </w:t>
    </w:r>
    <w:bookmarkStart w:id="59" w:name="AuditStartDate1"/>
    <w:r>
      <w:rPr>
        <w:rFonts w:cs="Arial"/>
        <w:sz w:val="16"/>
        <w:szCs w:val="20"/>
      </w:rPr>
      <w:t>7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