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Everill Orr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Everil Orr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2017</w:t>
      </w:r>
      <w:bookmarkEnd w:id="7"/>
      <w:r w:rsidRPr="009418D4">
        <w:rPr>
          <w:rFonts w:cs="Arial"/>
        </w:rPr>
        <w:tab/>
        <w:t xml:space="preserve">End date: </w:t>
      </w:r>
      <w:bookmarkStart w:id="8" w:name="AuditEndDate"/>
      <w:r w:rsidR="00A4268A">
        <w:rPr>
          <w:rFonts w:cs="Arial"/>
        </w:rPr>
        <w:t>12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Everil Orr Village (Oceania Healthcare Limited) can provide care for up to 67 residents. This certification audit was conducted against the Health and Disability Service Standards and the service contract with the district health board. Occupancy on the day of the audit was 61. The service provides rest home and hospital level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regional and executive management team. Service delivery is monitored. There are requirements for improvement relating to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in information packs and displayed within the service. Residents and family members confirmed their rights are met, staff are respectful of their needs and communication is appropriate. </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Support is provided if any discussions and explanation are required relating to the Health and Disability Commissioner's Code of Health and Disability Services Consumers' Rights.</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 Code of Health and Disability Services Consumers' Rights. There is one coroner enquiry open.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Everil Orr Village. The business and care manager is qualified and experienced in management systems and processes. The business and care and clinical managers are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Oceania Healthcare Limited has a documented quality and risk management system that supports and guides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access to services at Everil Orr is coordinated with the Needs Assessment Service and Coordination service whenever there is a vacancy at rest home or hospital levels of care.</w:t>
      </w:r>
    </w:p>
    <w:p w:rsidRPr="00A4268A" w:rsidP="00621629">
      <w:pPr>
        <w:spacing w:before="240" w:line="276" w:lineRule="auto"/>
        <w:rPr>
          <w:rFonts w:eastAsia="Calibri"/>
        </w:rPr>
      </w:pPr>
      <w:r w:rsidRPr="00A4268A">
        <w:rPr>
          <w:rFonts w:eastAsia="Calibri"/>
        </w:rPr>
        <w:t>The residents’ care plans are individualised and based on an integrated range of clinical information and assessments. The short-term care plans are developed to manage short term problems that arise. All residents’ records demonstrate that needs, goals and outcomes are identified and reviewed on a regular basis. The residents and families interviewed reported being involved in assessments, care planning and evaluation of care. The residents are referred or transferred to other health services as required, with appropriate verbal and written information.</w:t>
      </w:r>
    </w:p>
    <w:p w:rsidRPr="00A4268A" w:rsidP="00621629">
      <w:pPr>
        <w:spacing w:before="240" w:line="276" w:lineRule="auto"/>
        <w:rPr>
          <w:rFonts w:eastAsia="Calibri"/>
        </w:rPr>
      </w:pPr>
      <w:r w:rsidRPr="00A4268A">
        <w:rPr>
          <w:rFonts w:eastAsia="Calibri"/>
        </w:rPr>
        <w:t>An activities programme includes a wide range of activities and involvement with the wider community. The residents and family interviewed confirmed satisfaction with the activities programme. Individual activities are provided either within group settings or in a one-on-one setting.</w:t>
      </w:r>
    </w:p>
    <w:p w:rsidRPr="00A4268A" w:rsidP="00621629">
      <w:pPr>
        <w:spacing w:before="240" w:line="276" w:lineRule="auto"/>
        <w:rPr>
          <w:rFonts w:eastAsia="Calibri"/>
        </w:rPr>
      </w:pPr>
      <w:r w:rsidRPr="00A4268A">
        <w:rPr>
          <w:rFonts w:eastAsia="Calibri"/>
        </w:rPr>
        <w:t>The medicines management system is documented and implemented to provide safe processes for prescribing, administration and medication reconciliation, dispensing, storage and disposal of medicines. The medication policy includes a section on residents’ self-administering medicines. At the time of the audit the service did not have any residents who self-administered their medicines. The clinical staff responsible for medicines management complete annual competencies in medication management.</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of an appropriate size to allow for care to be provided and for the safe use and manoeuvring of mobility aids. Essential emergency and security systems are in place and fire drills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There were no residents using restraint and one resident requesting the use of an enabler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an infection prevention and control programme which is reviewed annually. An infection control nurse is responsible for this programme, including education and surveillance. The infection control nurse is supported in their role by the infection control team.</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to the Oceania Healthcare Limited support office.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1"/>
        <w:gridCol w:w="1280"/>
        <w:gridCol w:w="91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they receive services and information which meets their needs. Staff receive education on the Health and Disability Commissioner Code of Health and Disability Services Consumers' Rights (the Code) during their induction to the service and through the annual mandatory education programme. All staff have had training in the Code during the previous 12 months and staff confirmed their understanding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were provided on ways the Code is implemented in their everyday practice including: maintaining residents' privacy; informed consent; giving residents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respectful and polite attitudes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guides staff in relation to gathering of informed consent. Resident files identified that informed consent is obtained. Interviews with staff confirmed their understanding of informed consent processes.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BCM and CM discuss informed consent processes with residents and their families during the admission process. The policy and procedure includes guidelines for consent for resuscitation/advance directives. A review of files noted that all had appropriately signed advanced directives. The GP makes a clinical decision around resuscitation and ongoing treatment for residents who are not able to make an advance directive (and have no advance directive documented in the past) and the advance directive is discussed with the family and/or EPOA prior to the doctor signing the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 and is a component of the Oceania annual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the service provides opportunities for the family/EPOA to be involved in decisions and they state that they have been informed about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of the facility.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register. 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on admission.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Everil Orr Village has a philosophy that promotes dignity, respect and quality of life. The service ensures that each resident has the right to privacy and dignity.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guide them in managing resident practices and/or expressions of sexuality and intimacy in an appropriate and discreet manner with strategies documented to manage any inappropriate behaviour if any issues arise. The initial and ongoing assessment gains detail people’s beliefs and values, and care plans are completed with the resident and family member. Interventions to support these are identified and evaluated. Staff confirmed that they are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(HCA)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or on the incidents reviewed in residents’ files. Residents, staff, family and the general practitioner (GP) confirmed that there was no evidence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residents’ files confirmed that specific cultural needs are identified in the residents’ care plans. The BCM stated that a kaumātua can be accessed by the service to support staff on tikanga protocols and general advice via the Auckland District Health Board. 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each resident’s personal needs from the time of admission. This is achieved with the resident, family and/or their representative. Staff and residents confirmed there are choices for residents regarding their care and services. There is a culture of choice with the resident determining when cares occur, times for meals and selection of meals and activities. Information gathered during assessment includes the resident’s cultural values and beliefs. The initial care plan, the long-term care plan and interRAI assessment are based on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Staff are familiar with how translating and interpreting services can be accessed. Residents in the service did not require interpreting services on audit days. Currently the staff are able to act as interpreters for the residents that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Village implements the Oceania Healthcare Limited (Oceania) policies and procedures which are based on good practice, current legislation and guidelines. This ensures staff are aware of good practice and boundaries relating to discrimination, abuse and neglect, harassment and exploitation. Interviews confirmed awareness of how to identify and manage discrimination, abuse and neglect, harassment and exploitation. There were no complaints recorded in the complaints register for the previous 12 months relating to any form of discrimination. Staff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contain the responsibilities of position, including ethical issues relevant to the role. Staff complete orientation and induction, which includes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Oceania policies to guide practice. The policies align with the Health and Disability Services Standards. The organisation’s quality framework includes an internal audit programme and benchmarking occurs across all the Oceania facilities. There is a training programme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are encouraged to complete management training and attend monthly regional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Procedures guide staff on the process to ensure full and frank open disclosure is available. Family are informed if the resident has an accident/incident or has a change in health or needs and this is evidenced in completed accident/incident forms. Family confirmed they are invited to the care planning meetings for their family member and can attend the residents’ meetings. Families confirmed they are informed. 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This provides clear information around what is paid for by the service and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current multicultural staff mix are able to meet the needs of the residents requiring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Village is part of the Oceania Healthcare Limited (Oceania), with the executive management team providing support to the service. Communication between the service and managers occur monthly with the clinical and quality manager (CQM)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is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BCM supported by a CM. The BCM has been in the role for two and a half years and has twenty years’ experience in aged care in other roles. The CM has been in the position for 10 years. The BCM and CM hold current annual practising certificates and are supported by the CQM. The management team are well supported in their roles and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67 residents. On the first day of audit there were 61 residents living at the facility including 18 residents requiring rest home level of care, 43 residents requiring hospital level of care. These numbers include three residents under the chronic health conditions contract and two young people with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is responsible for the day to day operation of the service and is supported by a senior RN, the regional CQM and the regional operations manager. In the absence of the CM, the BCM with the support and help of the regional CQM,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Village uses the Oceania Healthcare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organisational policies and procedures are available to staff and guide service delivery. The policies and procedures are relevant to the scope and complexity of the service and reflect current accepted good practice and reference legislative requirements. The Oceania management group reviews all policies with input from relevant personnel. New and revised policies are presented to staff to read and sign to evidence that they have read and understood the policy. Staff confirmed that they are advised of updated policies and those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number of clinical indicators such as: complaints; incidents and accidents; surveillance of infections; pressure injuries; falls; medication errors and implementation of an internal audit programme. Completed audits for 2016 and 2017, clinical indicators and quality improvement data is recorded on various registers and forms. Quality improvement data provides evidence that data is being collected, collated and analysed to identify trends. Where required, corrective action plans are developed,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communication with all staff, residents and family through the facility’s meetings. Staff meetings evidenced all aspects of quality improvement, risk management and clinical indicators are discussed. Staff reported that they are kept informed of quality improvements. Copies of meeting minutes are available for review for the staff that were unable to attend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2017 shows that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is required to report and notify statutory authorities, including unexpected deaths, police involvement, sentinel events, infectious disease outbreaks and changes in key management roles. Evidence was sighted confirming the Ministry of Health had been notified of a recent outbreak.</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BCM. There is a coroner’s review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and implemented. The skills and knowledge required for each position is documented in job descriptions. These were reviewed on staff files along with employment agreements, reference checks, and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are also supported to complete education via external education providers. Staff have completed training around pressure injuries in 2016 and 2017. Individual staff attendance records and attendance records for each education session were reviewed and evidenced that ongoing education is provided. Nine RNs have completed interRAI assessments training and competencies.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Healthcare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care staff, for example: hoist; oxygen use; hand washing; wound management; medication management; moving and handling; restraint; nebuliser; blood sugar and insulin. Education and training hours are at least eight hours a year for each staff member. The RNs’ training records reviewed evidenced eight hours or more of relevant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44 staff, including the management team, clinical staff, a diversional therapist, and household staff. There is a RN on each shift. The BCM and CM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Relevant resident care documentation can be accessed in a timely manner. The service retains relevant and appropriate information to identify residents and track records. Information containing sensitive resident information is not displayed in a way that could be viewed by other residents or members of the public. Archived records are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are integrated, including information such as medical notes, assessment information and reports from other health professionals. Medication charts are kept separate from residents’ files. Resident files and medication charts are accessed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entry to services is planned, coordinated and delivered in a timely and appropriate manner. This was confirmed at staff, management, resident and family interviews. The information about the services provided is accessible to residents, family and referral agencies. The facility information pack contains all relevant information. The prospective residents and/or their families are encouraged to visit the facility prior to admission. The residents’ entry and assessment processes are recorded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admission agreements evidenced resident and/or family and facility representative sign off.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Staff and management interviews confirmed there is communication between all services, the resident and the family. The appropriate information is provided for the ongoing management of the resident. All referrals are documented in the residents’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computerised medication management system is implemented to ensure that residents receive medicines in a secure and timely manner. The medication entries sampled on the electronic system complied with legislation, protocols and guidelines. Medications are stored in a safe and secure way. The e-prescribing electronic system is accessed by use of individual passwords and generic facility log in. All medications are reviewed every three months and as required by the GP. Drugs are stored, administered and checked according to legislation and guides. The medication fridge monitoring is maintained.</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administering medication were observed to demonstrate knowledge and understanding of their roles and responsibilities relating to each stage of medicine management. All staff who administer medicines have completed medication competency to be able to administer medicines.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prepared on site and served in the respective dining areas. The Oceania seasonal menu has been reviewed by a dietitian. Meal choices are available for residents, as confirmed by the chef, management, staff and residents’ interviews.</w:t>
            </w:r>
          </w:p>
          <w:p w:rsidR="00EB7645" w:rsidRPr="00BE00C7" w:rsidP="00BE00C7">
            <w:pPr>
              <w:pStyle w:val="OutcomeDescription"/>
              <w:spacing w:before="120" w:after="120"/>
              <w:rPr>
                <w:rFonts w:cs="Arial"/>
                <w:b w:val="0"/>
                <w:lang w:eastAsia="en-NZ"/>
              </w:rPr>
            </w:pPr>
            <w:r w:rsidRPr="00BE00C7">
              <w:rPr>
                <w:rFonts w:cs="Arial"/>
                <w:b w:val="0"/>
                <w:lang w:eastAsia="en-NZ"/>
              </w:rPr>
              <w:t>The residents’ dietary assessments are undertaken on admission to the facility and a dietary profile is developed. The personal food preferences of the residents, special diets and modified nutritional requirements are known to the chef and accommodated in the daily meal plan. Special equipment to meet residents’ nutritional needs was sighted to be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food safety practices in the kitchen are monitored. 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residents’ satisfaction with meals was verified by resident and family interviews,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staff on duty in the dining rooms at meal times to ensure appropriate assistance was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CM and the BCM verified a process exists for informing residents, their family and their referrers if entry is declined. The reason for declining entry would be communicated to the referrer, resident and their family in a timely manner. The residents are declined entry if not within the scope of the service or if a bed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their needs identified on admission through a variety of information sources including: Needs Assessment and Service Coordination agency; other service providers involved with the resident; the resident; family and on-site assessments using a range of assessment tools. The initial care plans identified there was sufficient resident information to be able to provide care for those residents for the first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post admission, the RN undertakes other assessments as clinically indicated, which are reviewed six-monthly or as the needs, outcomes and goals of the resident change (refer to 1.3.3.3). The assessments take place in the privacy of the resident’s bedroom, with the resident and/or family participating in the process. This was confirmed at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describe the support of the residents’ needs to meet their goals and desired outcomes. The care interventions are recorded in the long-term care plans and relate to the residents’ medical and nursing needs. The review of the residents’ clinical files evidenced support and interventions are aligned with the residents’ risk assessments. The care plans were individualised and current.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evidenced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documentation, observations and interviews verified that the provision of care provided to residents was consistent with the residents’ needs and desired outcomes. The long-term care plan and the short-term care plan interventions reflected recent assessment findings. The residents and family interviewed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available that comply with best practice guidelines and meet residents’ needs. Staff and management interviews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assessed by the activities coordinator (AC) to ascertain their activity and social requirements. The activities assessments are analysed to develop an activities programme that is meaningful to the residents. The activities assessments sighted recorded the residents’ past and present interests and abilities and recreational requirements. The activities care plans record the individual interests of the residents and their ability to be involved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 plans the activities programme and this is discussed with the CM and BCM. When the programme is approved, it is implemented by the AC and the HCAs. This was confirmed at staff and management interviews. The planned monthly activities programme is provided every day of the week and matches the skills and interests evidenced in the residents’ activities assessment data and activities plans. The resident interviews verify that their feedback about the activities provided is sought and their satisfaction with the activities offered. The activities observed on audit days evidenced a varied programme with residents’ participation and involvement. </w:t>
            </w:r>
          </w:p>
          <w:p w:rsidR="00EB7645" w:rsidRPr="00BE00C7" w:rsidP="00BE00C7">
            <w:pPr>
              <w:pStyle w:val="OutcomeDescription"/>
              <w:spacing w:before="120" w:after="120"/>
              <w:rPr>
                <w:rFonts w:cs="Arial"/>
                <w:b w:val="0"/>
                <w:lang w:eastAsia="en-NZ"/>
              </w:rPr>
            </w:pPr>
            <w:r w:rsidRPr="00BE00C7">
              <w:rPr>
                <w:rFonts w:cs="Arial"/>
                <w:b w:val="0"/>
                <w:lang w:eastAsia="en-NZ"/>
              </w:rPr>
              <w:t>There are individual activities care plans in the files of the residents who are under 65 years of age. Resident interviews confirmed these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long-term care plans are evaluated six-monthly or when the resident’s condition alters. There is evidence of multidisciplinary reviews with the resident and/or family involved. All long-term care plans reviewed evidenced the risk assessment findings were recorded. The residents’ requirements for support and relevant individualised interventions were current. </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developed when needed and signed off and closed out when the short-term problem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supported to access or seek referral to other health and/or disability service providers. If the need for other non-urgent services is indicated or requested, the GP or the RN sends a referral and these are followed up on a regular basis. The resident and the family are kept informed of the referral process, as verified by documentation and interviews. Acute/urgent referrals are attended to immediately, for example,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any incidents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are accessible for staff. The hazard register is current.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outdoor table and chairs, lawns and areas with shade. The external areas are maintained and are appropriate to the resident group and setting. The environment is conducive to the range of activities undertaken in the areas. Residents are protected from risks associated with being outside. Residents confirmed they are able to move freely around the facility and outdoors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in all bedrooms to allow residents and staff to move around within the room safely. Equipment was sighted in rooms that required them, with sufficient space for the equipment, staff and the resident. Residents interviewed spoke positively about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adornments and the service encourages residents to make the suite their own. There are designated areas to store mobility aids, hoists and wheelchairs. All the rooms are large enough to accommodate specific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three dining areas are spacious and residents can choose to have their meals in their room. Break out areas for privacy are also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Linen service is contracted out to another Oceania facility. There are processes in place for collection, transportation and delivery of linen and residents’ personal clothing. The effectiveness of the cleaning and laundry services is audited via the internal audit programme. The cleaner described the cleaning processes. There are cleaners on site during the day, seven days a week. The cleaners have a trolley to put chemicals in and the cleaners are aware that the trolley must be with them at all times. There are safe and secure storage areas and staff have appropriate and adequate access to these areas, as required. Chemicals are labelled and stored safely within these areas. Products are used with training around use of products provided throughout the year. The cleaner confirmed that they had training at least annually.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were satisfied with the cleaning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Policy and procedures documenting service provider/contractor identification requirements along with policy/procedures for visitor identification are available. There is always at least one staff member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approving the fire evacuation scheme dated 2003 was sighted. Trial evacuations are held six monthly. Emergency and security management education is provided at orientation and at the in-service education programme. Information in relation to emergency and security situations is readily available and displayed for staff and residents. The emergency equipment is accessible, stored correctly, not expired, and stocked to a level appropriate to the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family and staff members to summon assistance, when required. Call bells are available in all resident areas. Call bells are monitored by the maintenance staff monthly. Residents confirmed they have a call bell system in place, it is accessible and that staff respond in a timely manner. The doors are locked in the evenings. Staff complete a check in the evening that confirms that security measures have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 There are designated smoking areas for the staff and residents that are away from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policies and procedures manual provides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defined in the infection control policy and includes the responsibilities of the Oceania infection control committee (company-wide) and the facility infection control nurse and infection control team. There is a signed infection control nurse’s job description outlining responsibilities of the position. The infection control nurse is an RN and they are supported in their role by the BCM, the CM and the infection control team. There is evidence of regular reports on infection related issues and these are communicated to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Oceania-wide infection control programme is reviewed annually by the Oceania infection control committee (company-wide). The facility’s infection control programme is reviewed by the infection control team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with the infection control nurse and the BCM, it was confirmed the infection control nurse has access to relevant and current information, which is appropriate to the size and complexity of the service. There is evidence of communication with specialists in respect of infection control matters. Infection control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implementation of the infection control programme is monitored via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develops and reviews the infection control policies and procedures to be implemented within the Oceania facilities. They are developed and reviewed regularly in consultation and input from relevant staff, and external specialists. The procedures are up to date, reflect current accepted good practice and relevant legislative requirements. The infection control manual is readily accessible to all personnel, as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introduced to all new staff as part of the orientation to the facility. Hand hygiene is part of the orientation process prior to commencement of work. The infection control education is provided to all staff as part of the ongoing in-service education programme. The staff in-service education is provided by the infection control nurse. There is evidence this has occurred in 2017. The education sessions have evidence of staff attendance/participation and content of the presentations. The infection control nurse has undertaken external infection control education/training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advised that clinical staff identify situations where infection control education is required for a resident such as hand hygiene and cough etiquette, and one on one education is conducted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the requirements around the surveillance of infections. The type of surveillance undertaken is appropriate to the size and complexity of this service. The standardised definitions are used for the identification and classification of infection events, indicators or outcomes. Infection logs are maintained for infection events. The residents’ files evidenced the residents’ who were diagnosed with infections had short-term care plans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surveillance analysis is completed and reported at monthly facility’s meetings and entered in the clinical indicators on the Oceania intranet. This information is reviewed by the Oceania clinical quality team and reported to the Oceania board monthly.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infection control nurse and the BCM confirmed an outbreak occurred at the facility and was managed appropriately. The outbreak summary and notifications to the Regional Public Health Unit and Oceania support office evidenced the outbreak’s appropriate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definitions of restraints and enabler are congruent with the definitions in the restraint minimisation and safe practice standard. The approval process for an enabler use is activated when a resident voluntarily requests an enabler to assist them to maintain independence and/or safety, as confirmed at staff and management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 and one resident at the facility using an enabler on the days of the audit. The resident’s file reviewed evidenced an assessment of the need for an enabler, consent, care planning, monitoring and review of the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enabler usage and prevention and/or de-escalation education and training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0"/>
        <w:gridCol w:w="1280"/>
        <w:gridCol w:w="6217"/>
        <w:gridCol w:w="1939"/>
        <w:gridCol w:w="1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 confirmed they visit the facility twice a week and conduct residents’ initial medical assessments and monthly and three-monthly reassessments. Two of four rest home residents’ clinical files reviewed evidenced the GP exemptions were not documented for residents who were being medically reassessed three-monthly. Three additional rest home files were reviewed and all three files did not have the GP exemption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computer data evidenced all interRAI assessments were current, however, the initial interRAI assessments were not completed within 21 days of admission to the facility in 2 of the 8 residents’ clinical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initial interRAI assessments are not consistently completed within 21 days of the residents’ admission. </w:t>
            </w:r>
          </w:p>
          <w:p w:rsidR="00EB7645" w:rsidRPr="00BE00C7" w:rsidP="00BE00C7">
            <w:pPr>
              <w:pStyle w:val="OutcomeDescription"/>
              <w:spacing w:before="120" w:after="120"/>
              <w:rPr>
                <w:rFonts w:cs="Arial"/>
                <w:b w:val="0"/>
                <w:lang w:eastAsia="en-NZ"/>
              </w:rPr>
            </w:pPr>
            <w:r w:rsidRPr="00BE00C7">
              <w:rPr>
                <w:rFonts w:cs="Arial"/>
                <w:b w:val="0"/>
                <w:lang w:eastAsia="en-NZ"/>
              </w:rPr>
              <w:t>ii) The GP exemption for rest home residents to be medically reassessed every three months are not always recorded in the clinical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Provide evidence the initial interRAI assessments are completed within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the GP exemptions for residents to be medically assessed three-monthly are noted in the residents’ clinical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Everill Orr</w:t>
    </w:r>
    <w:bookmarkEnd w:id="58"/>
    <w:r>
      <w:rPr>
        <w:rFonts w:cs="Arial"/>
        <w:sz w:val="16"/>
        <w:szCs w:val="20"/>
      </w:rPr>
      <w:tab/>
      <w:t xml:space="preserve">Date of Audit: </w:t>
    </w:r>
    <w:bookmarkStart w:id="59" w:name="AuditStartDate1"/>
    <w:r>
      <w:rPr>
        <w:rFonts w:cs="Arial"/>
        <w:sz w:val="16"/>
        <w:szCs w:val="20"/>
      </w:rPr>
      <w:t>10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