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Wesley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2017</w:t>
      </w:r>
      <w:bookmarkEnd w:id="7"/>
      <w:r w:rsidRPr="009418D4">
        <w:rPr>
          <w:rFonts w:cs="Arial"/>
        </w:rPr>
        <w:tab/>
        <w:t xml:space="preserve">End date: </w:t>
      </w:r>
      <w:bookmarkStart w:id="8" w:name="AuditEndDate"/>
      <w:r w:rsidR="00A4268A">
        <w:rPr>
          <w:rFonts w:cs="Arial"/>
        </w:rPr>
        <w:t>18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Wesley Village (Oceania Healthcare Limited) can provide care for up to 72 residents. This certification audit was conducted against the Health and Disability Service Standards and the service contract with the district health board. Occupancy on the day of the audit was 58. The service provides rest home, dementia and hospital level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family, management, staff and one medical officer.</w:t>
      </w:r>
    </w:p>
    <w:p w:rsidRPr="00A4268A">
      <w:pPr>
        <w:spacing w:before="240" w:line="276" w:lineRule="auto"/>
        <w:rPr>
          <w:rFonts w:eastAsia="Calibri"/>
        </w:rPr>
      </w:pPr>
      <w:r w:rsidRPr="00A4268A">
        <w:rPr>
          <w:rFonts w:eastAsia="Calibri"/>
        </w:rPr>
        <w:t>The previous business and care manager resigned four weeks prior to the audit. Oceania Healthcare Limited’s acting business and care manager is responsible for the overall management of the facility and is supported by the regional and executive management team. Service delivery is monitored. There are requirements for improvement relating to communication, complaints and the laundry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in information packs and displayed within the service. Staff are respectful of residents’ needs.</w:t>
      </w:r>
    </w:p>
    <w:p w:rsidRPr="00A4268A">
      <w:pPr>
        <w:spacing w:before="240" w:line="276" w:lineRule="auto"/>
        <w:rPr>
          <w:rFonts w:eastAsia="Calibri"/>
        </w:rPr>
      </w:pPr>
      <w:r w:rsidRPr="00A4268A">
        <w:rPr>
          <w:rFonts w:eastAsia="Calibri"/>
        </w:rPr>
        <w:t>Residents, families and enduring power of attorney are provided with information required prior to giving informed consent. Support is provided if any discussions and explanation are required relating to the Health and Disability Commissioner's Code of Health and Disability Services Consumers' Rights.</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Commissioner’s Code of Health and Disability Services Consumers' Rights. There is one coroner’s enquiry that remains open.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 provided at Wesley Village. The acting business and care manager is a registered nurse, holds a current practicing certificate and is qualified and experienced in management systems and processes. The clinical manager has been in the role for twelve months and is supported by the clinical and quality manager (regional), the operations manager (regional) and the senior clinical and quality manager (national) regarding oversight of the service and clinical care.</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at the service. Policies are reviewed at support office and are current. Quality and risk performance is reported through meetings at the facility and monitored by the organisation's management team through the business status reports. Benchmarking reports are produced that include incidents/accidents, infections, complaints and clinical indicators.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There are human resource policies implemented around recruitment, selection, orientation, staff training and development. Staff, residents and family confirmed that staffing levels are adequate.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staff. The service has contracted a team of two general practitioners and one nurse practitioner to provide the medical care for the residents. On-call arrangements for support from senior staff are in place. Shift handovers and communication books guide continuity of care.</w:t>
      </w:r>
    </w:p>
    <w:p w:rsidRPr="00A4268A" w:rsidP="00621629">
      <w:pPr>
        <w:spacing w:before="240" w:line="276" w:lineRule="auto"/>
        <w:rPr>
          <w:rFonts w:eastAsia="Calibri"/>
        </w:rPr>
      </w:pPr>
      <w:r w:rsidRPr="00A4268A">
        <w:rPr>
          <w:rFonts w:eastAsia="Calibri"/>
        </w:rPr>
        <w:t>The person centred care plans are individualised and based on a comprehensive and integrated range of clinical information. Short-term care plans are developed to manage any new problems that might arise. All residents’ records reviewed demonstrated that needs, goals and outcomes are identified and reviewed on a regular basis. Residents are referred or transferred to other health services as required, with appropriate verbal and written handovers and a current interRAI assessment completed prior to transfer.</w:t>
      </w:r>
    </w:p>
    <w:p w:rsidRPr="00A4268A" w:rsidP="00621629">
      <w:pPr>
        <w:spacing w:before="240" w:line="276" w:lineRule="auto"/>
        <w:rPr>
          <w:rFonts w:eastAsia="Calibri"/>
        </w:rPr>
      </w:pPr>
      <w:r w:rsidRPr="00A4268A">
        <w:rPr>
          <w:rFonts w:eastAsia="Calibri"/>
        </w:rPr>
        <w:t>The planned activity programme, overseen by two activities coordinators, provides the residents with a variety of individual and group activities and maintains their link with the community. One activities coordinator organises the programme for the rest home and hospital level residents and the other for the secure dementia service.</w:t>
      </w:r>
    </w:p>
    <w:p w:rsidRPr="00A4268A" w:rsidP="00621629">
      <w:pPr>
        <w:spacing w:before="240" w:line="276" w:lineRule="auto"/>
        <w:rPr>
          <w:rFonts w:eastAsia="Calibri"/>
        </w:rPr>
      </w:pPr>
      <w:r w:rsidRPr="00A4268A">
        <w:rPr>
          <w:rFonts w:eastAsia="Calibri"/>
        </w:rPr>
        <w:t>Medicines are managed according to policies and procedures. Medications are administered by registered and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all food safety standards and the nutritional needs of the residents with special requirements catered for. A food safety plan and policies guide food service delivery, supported by staff with food safety qualifications. Food is prepared off-site and delivered to this site twice a day, seven days a week.</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of an appropriate size to allow for care to be provided and for the safe use and manoeuvring of mobility aids. Essential emergency and security systems are in place and fire drills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supports the minimisation of restraint. Four enablers and seven restraints were in use at the time of the audit. Restraint is only used as a last resort when all other options have been explored. A comprehensive assessment, approval and monitoring process with regular reviews occurs. Enabler use is voluntary for the safety of residents in response to individual requests. Staff receive training at orientation and thereafter every two years, including all required aspects of restraint and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There are terms of reference for the infection control committee which meets monthly. Specialist infection prevention and control advice is able to be accessed from the district health board, microbiologist, physician and the general practitioner. The programme is reviewed annually.</w:t>
      </w:r>
    </w:p>
    <w:p w:rsidRPr="00A4268A">
      <w:pPr>
        <w:spacing w:before="240" w:line="276" w:lineRule="auto"/>
        <w:rPr>
          <w:rFonts w:eastAsia="Calibri"/>
        </w:rPr>
      </w:pPr>
      <w:r w:rsidRPr="00A4268A">
        <w:rPr>
          <w:rFonts w:eastAsia="Calibri"/>
        </w:rPr>
        <w:t>Staff demonstrated sound practice and understanding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surveillance is undertaken,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5"/>
        <w:gridCol w:w="1280"/>
        <w:gridCol w:w="94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receive information and services that meet their needs. Staff receive education on the Health and Disability Commissioner Code of Health and Disability Services Consumers' Rights (the Code) during their induction to the service and through the annual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had training in the Code during the previous 12 months and interviews with the staff confirmed their understanding of the Code. Examples were provided on ways the Code is implemented in their everyday practice including: maintaining residents' privacy; informed consent; giving residents choices; encouraging independence and ensuring residents can continue to practice their own personal values and beliefs. The auditors noted respectful attitudes towards residents on the days of the audit. Any challenging behaviours were managed for residents in the dementia unit in a respectful and supportive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guides staff in relation to gathering of informed consent. Resident files identified that informed consent is obtained. Interviews with staff confirmed their understanding of informed consent processes.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ABCM and CM discuss informed consent processes with residents and their families during the admission process. The policy and procedure includes guidelines for consent for resuscitation/advance directives. A review of files noted that all had appropriately signed advance directives. The general practitioner makes a clinical decision around resuscitation and ongoing treatment for residents who are not able to make an advance directive (and have no advance directive documented in the past). The advance directive is discussed with the family and/or EPOA prior to the doctor signing the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 and is a component of the Oceania annual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confirmed that the service provides opportunities for the family/EPOA to be involved in decisions and stated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and visitors can access after doors are locked by using the front door bell. Families confirmed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timeframes for responding to a complaint. Complaint forms are available at the entrance of the facility. A complaints register is in place and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documented on the register. Complaints reviewed indicated that 3 of the 17 complaints in 2017 did not have sufficient evidence of resolution and/or follow up with the complainant.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ABCM is responsible for managing complaints. Three of the five families interviewed, had made complaints and had not received follow up or feedback. The families had subsequently lodged official complaints relating to the lack of feedback. Residents and family members could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was a Health and Disability Commissioner enquiry as a result of a complaint which has been closed. There is currently an open coroner’s enquiry.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business and care manager (ABCM) and the clinical manager (CM) discuss the Code with residents and their family on admission.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Village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 gains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(both in the rest home and dementia unit)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reported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Residents, staff, family and the general practitioner confirmed that there is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evidenced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residents/family to practise their own beliefs are acknowledged in the Māori health plan. The service continues to try to develop links to local kaumātua and Māori services but can also access support through the district health board. There are staff who identify as Māori and staff reported that specific cultural needs are identified in the residents’ care plans. There are Māori residents currently using the service and they have a cultural assessment and plan in place.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selection of meals and activities. Staff work to balance service delivery, duty of care and resident choice. Staff are also able to describe how residents in the dementia unit have choice, for example, around what clothes to wear and what food to choose.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 are involved in the assessment and the care planning processes as sighted in files reviewed. Information gathered during assessment includes the resident’s cultural values and beliefs. This information is used to develop a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are familiar with how translating and interpreting services can be accessed. The current multicultural staff mix are able to act as interpreters for the residents and families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ensuring that individual activities encourage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Job descriptions were sighted in staff files reviewed and were relevant to the role held by the staff member. The orientation and employee agreement provided to staff on induction include standards of conduct. Interviews with staff confirm their understanding of professional boundaries, including the boundaries of the healthcare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Wesley Village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programme for all staff and managers are encouraged to complete management training. There are monthly regional management meetings. Specialised training and related competencies are in place for the registered nursing staff. Review of staff files indicated training and competencies are completed annually by all staff,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family/EPOA of any accident/incident that occurs. These procedures guide staff on the process to ensure full and frank open disclosure is available. Completed accident/incident forms evidenced family are informed if the resident has an incident/accident, has a change in health, or a change in needs.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however, they are not consistently kept informed in relation to family concerns and expectations are not always addressed and/or communicated to staff. Family confirmed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are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Village is part of the Oceania Healthcare Limited (Oceania) with the executive management team providing support to the service. Communication between the service and managers occur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mission statement and philosophy are displayed at the entrance to the facility. Information in booklets is given to new residents and staff training is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acting business and care manager (ABCM) supported by a clinical manager (CM). The ABCM has been in the role for a week. The CM has been in the position for 12 months and is supported by the clinical and quality manager (CQM). The management team is well supported in their roles and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72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audit there were 58 residents living at the facility, including 11 residents requiring rest home level of care, 34 residents requiring hospital level of care, and 13 requiring dementia level care. Included in these numbers were 3 hospital level residents under 65 years under the young person’s disability contract. The facility also holds a respite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ABCM, the CM is responsible for the day to day operation of the service and is supported by a senior registered nurse and the regional CQM and the regional operations manager. In the absence of the CM, the ABCM with the support and help of the regional CQM,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Village uses the Oceania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Support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and sign to confirm they have read and understood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Documentation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meetings held to discuss data. These include: monthly staff/quality meetings, clinical meetings and health and safety meetings. Meeting minutes evidence communication with all staff around all aspects of quality improvement and risk management. There are also two monthly resident meetings that keep residents informed of any changes. Staff report that they are kept informed of quality improvements and can have input into discussions and review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six-monthly family and resident satisfaction survey with results collated and evidence of improvement implementation plans.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ABCM is aware of situations in which the service would need to report and notify statutory authorities, including police attending the facility, unexpected deaths, sentinel events, infectious disease outbreaks, and changes in key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could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ABCM, CM and registered nurses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for example,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healthcare assistants (HCA) are paired with a senior HCA for shifts or until they demonstrate competency on a number of tasks, including personal cares. HCAs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care staff, for example, hoist, oxygen use, hand washing, wound management, medication management, moving and handling, restraint, nebuliser, blood sugar and insulin, and assisting residents to shower. The organisation has a mandatory education and training programme. Staff attendances are documented. Education and training hours are at least eight hours a year for each staff member. Registered nurses training records indicated they had well in excess of eight hours training in the past year around clinical topics, for example, wound management, management of challenging behaviour and de-escalation and continence. Staff working in the dementia unit have completed training modules specific to dementia care. There are two interRAI trained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workforce planning. Staffing levels are reviewed for anticipated workloads, identified numbers and appropriate skill mix, or as required due to changes in the services provided and the number of residents. Staff confirmed that they have sufficient time to complete cares scheduled. There are 53 staff, including the management team, clinical staff, a diversional therapist, and household staff. There is always a registered nurse on each shift. The ABCM and CM are on call after hours. Residents and families confirmed staffing is adequate to meet the residents’ needs. The service is undertaking as a review of the duty rosters and currently advertising for a business and care manager and healthcare assistants.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healthcare assistant, registered nurse or other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 either in the main home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sensitive resident information is not displayed in a way that it could be viewed by other residents or members of the public. Individual resident files demonstrate service integration. This included medical care interventions. Medication charts are in a separate folder with medication. Staff interviewed stated that they read the long term plans at the beginning of each shift and are informed of any changes through the handover process.</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are integrated, including information such as medical notes, assessment information and reports from other health professionals. Medication charts are kept separate from residents’ files. Resident files and medication charts are accessed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families are encouraged to visit the facility prior to admission and meet with the clinical manager and/or the facility administrator. They are provided with written information about the service and the admission process. The service operates a waiting list for entry when full. The organisation seeks updates information from NASC or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services. There is open communication between all services, the resident and the family. At the time of transition between services, appropriate information, including medication records, is provided for the ongoing management of the resident. When a resident is transferred this is documented in the progress records. Family reported at interviews they are being kept well informed during the transfer of their relative to the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A safe system for medicine management was observed on the day of the audit. The staff observed demonstrated good knowledge and had a clear understanding of their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All medication sighted were within current use by dates. Clinical pharmacist input is provided and six-monthly audits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medication fridge are within the recommended range. The requirements for pro re nata (PRN) medicines is met. Should any resident in the dementia service require PRN medication, it is the responsibility of the registered nurse to administer this medication.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self-administering medications at the time of the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clinical manager and recorded on an incident form.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are current and comply with guidelines. There is a copy the standing orders attached to the side of each of the three medication trollies.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in June 2017. Food temperatures, including high risk items, are monitored appropriately and recorded as part of the plan. Food is prepared off-site at another Oceania facility. The food service manager interviewed by telephone has undertaken a safe food handling qualification with kitchen assistants at the main kitchen completing relevant food handling training as evidenced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delivered by van twice a day before lunchtime and before the evening meal. A kitchen hand serves the meals on arrival to this facility. Care staff are responsible for assisting residents with their meals and for clearing the tables and washing the dishes after the two main meals. Breakfast is provided on-site by staff. The food is delivered on a trolley to the secure dementia service each mealtime. The staff serve the food for the residents from the kitchen which is in close proximity to the lounge and dining room in the dementia unit. Residents have access to food and fluids to meet their nutritional needs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menu used follows summer and winter patterns and has been reviewed by a dietitian within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the chef at the main kitchen and to the kitchen hand at this facility to ensure the special needs of the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 offered, a referral for reassessment is made to the NASC and a new placement found, in consultation with the resident and family/whānau. There is a clause in the admission agreement related to when a resident’s placement can be terminated. An electronic system is used as a data base used for all resident information and this is well maintained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if required, as a means to identify any deficits and to inform care planning. The sample of person centred care plans reviewed had an integrated range of resident related information. All residents have current interRAI assessments completed by one of the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Personal centred care plans evidenced service integration with progress records, activities records, medical and allied health professional’s notations clearly written, informative and relevant. Any change of care required is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are followed. Care staff interviewed confirmed that care was provided as outlined in documentation. A range of equipment and resources was available, suited to the levels of care provided and in accordance with the individual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coordinators. One coordinator covers the dementia service and the other the rest home and hospital level care residents. A social assessment and history is undertaken on admission for all residents to ascertain each resident’s needs, interests, abilities and social requirements. Activities assessments are regularly reviewed to help formulate an activities programme that is meaningful to the residents. The resident’s activity needs are evaluated six monthly as part of the formal six-monthly person centred care plan review. The families are involved as much as possible for the residents in the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sighted matches the skills, likes, dislikes and interests identified in assessment data. Activities reflect residents’ goals, ordinary patterns of life and include normal community activities. Individual, group activities and regular events are offered in all services, for example, special theme and event days, reading, one on one exercise, garden walks, church services, baking sessions and music sessions. The activities programme is discussed at the residents’ meetings held two monthly and the minutes indicated that residents’ input is sought and responded to. Resident and family interviews demonstrated satisfaction with the activities offered.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there. Activities are offered at time when residents are most physically active and/or restless. This includes a trolley with planned activities that staff can do with the residents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 is noted, it is reported to the registered nurse or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Formal person centred care plan evaluations, occur every six months in conjunction with the six monthly interRAI reassessment, or as residents’ needs change. Evaluations are documented by the registered nurse (RN). Where progress is different from expected, the service responds by initiating changes to the plan of care. Examples of short-term care plans were consistently reviewed for behavioural management, post falls, skin tears, pressure injury and progress evaluated as clinically indicated and according to the degree of risk noted during the assessment process. Other plans, such as wound management, were evaluated each time the dressing was changed. Residents and families/representatives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two contracted GPs and a nurse practitioner, however, residents may choose to use another medical practitioner. If the need for other non-urgent services is indicated or requested, a GP sends a referral to seek specialist input. Copies of referrals sighted in residents’ records, included, for example, orthopaedic, eye clinic, mental health services for older persons, dietitian and other specialists. Referrals are followed up on a regular basis by the GP. Documentation and interviews verified the resident and the family/representative are kept informed of the referral process. Any acute/urgent referrals are attended to immediately, for example, sending the resident to the DHB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Equipment is available, including shower chairs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internal courtyards and grass areas with shade, seating and outdoor tables. There is an internal secure courtyard and external garden area that is secured for residents in the dementia unit. Both have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could be personalised with furnishings, photos and other personal adornments and the service encouraged residents to make the suite their own. The dementia unit has bedrooms that are reflective of the lives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space in the bedrooms to store mobility aids, such as walking frames,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have a larger rooms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can be used for activities. All areas are easily accessed by residents and staff. Residents can access areas for privacy. Furniture is appropriate to the setting and arranged in a manner which enabled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dining areas in both the rest home and dementia unit with room for residents to mobilise safely.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and rest home are encouraged to join other residents for meals and for social engagement.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off site, with covered laundry trolleys and bags in use for transport. There are designated clean and dirty areas in the laundry with separate doors to take clean and dirty laundry in and out. Laundry staff are required to return linen to the rooms. Residents and family members stated that there are issues with personal laundry not always being returned and the time it takes for the laundry to be returned. The healthcare assistants interviewed confirmed knowledge of their role including management of any infectious linen. All chemicals are stored in locked cupboards.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trolley to put chemicals in and the cleaners are aware that the trolley must be with them at all times. This was observed in the dementia unit. All chemicals are in appropriately labelled containers. Products are used with training around use of products provided throughout the year. The cleaner interviewed confirmed that they had training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has been approved by the New Zealand Fire Service. There have been no building reconfigurations since the approval. An evacuation policy on emergency and security situations is in place. A fire drill is undertaken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barbeques.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is in place. There are call bells in all resident rooms, resident toilets, and communal areas, including the hallways and dining rooms. Call bell audits are routinely completed and residents and family state that there are prompt responses to call bells. Call bell response times checked by the auditors on the day of the audit confirmed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complete a check in the evening to confirm security measures have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facilities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programme. Infection control management is guided by a comprehensive and current infection control manual, developed at organisational level, and input from the clinical manager and the organisation’s support management team.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is an experienced registered nurse. The role and responsibilities of the designated infection prevention and control nurse are defined in a position description. Infection control matters, including surveillance results, are reported monthly to the clinical manager and tabled at the quality/staff meeting. The quality committee includes representatives from all areas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Signage at the reception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has appropriate skills, knowledge and qualifications for the role, and has been in this role for three years. The infection prevention and control nurse has undertaken Ministry of Health online infection prevention and control training in 2017 and training records verified they have attended additional training related to infection prevention and control. There are well established local networks with the infection control team at the DHB and expert advice from the community laboratory is available if additional support/information is required. The infection prevention and control nurse has access to the residents’ records and to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confirmed the availability of resources to support the programme and any outbreak of an infection. The service has had one major infection outbreak in September 2017. A register was maintained by the clinical manager of all residents and staff affected. No visitors were involved.</w:t>
            </w:r>
          </w:p>
          <w:p w:rsidR="00EB7645" w:rsidRPr="00BE00C7" w:rsidP="00BE00C7">
            <w:pPr>
              <w:pStyle w:val="OutcomeDescription"/>
              <w:spacing w:before="120" w:after="120"/>
              <w:rPr>
                <w:rFonts w:cs="Arial"/>
                <w:b w:val="0"/>
                <w:lang w:eastAsia="en-NZ"/>
              </w:rPr>
            </w:pPr>
            <w:r w:rsidRPr="00BE00C7">
              <w:rPr>
                <w:rFonts w:cs="Arial"/>
                <w:b w:val="0"/>
                <w:lang w:eastAsia="en-NZ"/>
              </w:rPr>
              <w:t>An outbreak management plan was developed and implemented. A lockdown of the facility was instigated and wings were closed off respectively. The outbreak was 10 days in total and processes were implemented as per policy. Appropriate agencies were contacted at the time and all obligations were met. The infection prevention and control nurse confirmed the availability of resources being available to support the programme and any outbreaks that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Polices were last reviewed February 2016 and include appropriate referencing. The kitchen hand, care delivery, cleaning and laundry staff were observed following organisational policies, such as appropriate use of hand sanitises, good hand washing technique and use of personal protective equipment such as hats, disposable aprons and gloves, 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prevention and control nurse. Content of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Education for residents is generally on a one-to-one basis and can include for example, reminders concerning hand washing, advice about remaining in their own room if they are unwell, increasing fluids and the cranberry fluid round observed each day in the afternoon.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care facilities, with infection definitions reflecting a focus on symptoms rather than laboratory results. These include for example, urinary tract, soft tissue, fungal, eye, gastro-intestinal, the upper and lower respiratory tract and skin infections. When an infection is identified, a record of this is documented on the infection clinical record. The infection prevention and control nurse reviews all reported infections and maintains a log for each type of infection. Monthly surveillance data is collated and analysed to identify any trends, possible causative factors and any required actions. Results of the surveillance programme are shared with staff via regular staff meetings and at staff handovers observed. Graphs are produced that identify trends for the current year, and comparisons against previous years and this is reported to the clinical manager who reports to the organisation’s head office. Data is benchmarked with other facilities. Benchmarking has provided reassurance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seven residents were using restraints and four residents were using enablers, which were the least restrictive and used voluntarily at their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staff interviews and records reviewed of those residents who have been approved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registered nurse (restraint coordinator) and the GP, is responsible for the approval of the use of restraint and the restraint processes, as defined in policy. It was evident from the review of restraint approval group meetings, review of residents’ records and interview with the clinical manager, that there are clear lines of accountability,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family/EPOA involvement in the decision making, as is required by the organisation’s policies and procedures, was recorded in resident files reviewed. The use of restraint or enabler is included in the person centred care planning process and documented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initial assessment is undertaken by a registered nurse with the restraint coordinator’s involvement and input from the resident’s family/EPOA. The clinical manager described in interview the documented process. The registered nurses interviewed separately provided a clear understanding of their roles and the processes involved. Families confirmed their involvement. The GP and/or the nurse practitioner has involvement in the final decision on the safety of the use of the restraint. The assessment process identified the underlying cause, history of restraint use, cultural considerations, alternatives and associated risks. The desired outcome is to ensure the resident’s safety and security. Completed assessments were sighted in the records of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clinical manager described how alternatives to restraints are discussed with staff and family members. Time is spent explaining how the resident can be safely supported and suitable alternatives, such as sensor mats and low beds, are explored before use of a restraint is implemented. When restraints are in use, frequent monitoring occurs to ensure the resident remains safe. Records contain the necessary details, access to advocacy is provided if requested and all processes ensure dignity and privacy are maintained and respected. This was verified in the residents’ person centred care plans and monitoring forms reviewed.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interviewed understood that the use of restraints is to be minimised and how to maintain safe use of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 is reviewed and evaluated during care plan and interRAI reviews, six monthly restraint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review restraint use three monthly and the restraint/enabler monitoring form is reviewed. The restraint committee undertakes a six monthly review of all restraint use which includes all the requirements of the standard. Six monthly restraint review meetings and reports are completed and individual use of restraint use is reported to the quality and staff meetings. Minutes of meetings reviewed confirmed analysis and evaluation of the amount and type of restraint use in the facility, whether alternatives to restraint have been considered, the effectiveness of the restraint use, the competency of staff and appropriateness of restraint/enabler education and feedback from the GP, staff and families. The six monthly internal audit also informs these meetings. Any changed to policies, guidelines, education and processes are implemented if indicated. Data reviewed, minutes and interviews with staff confirmed the use of restraint has been reduced over the past two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7"/>
        <w:gridCol w:w="1280"/>
        <w:gridCol w:w="5522"/>
        <w:gridCol w:w="2337"/>
        <w:gridCol w:w="21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investigated with documentation evidenced in the complaints files reviewed. Seventeen complaints reviewed from January 2017 to the date of audit, did not consistently have follow up or feedback to families/representatives.</w:t>
            </w:r>
          </w:p>
          <w:p w:rsidR="00EB7645" w:rsidRPr="00BE00C7" w:rsidP="00BE00C7">
            <w:pPr>
              <w:pStyle w:val="OutcomeDescription"/>
              <w:spacing w:before="120" w:after="120"/>
              <w:rPr>
                <w:rFonts w:cs="Arial"/>
                <w:b w:val="0"/>
                <w:lang w:eastAsia="en-NZ"/>
              </w:rPr>
            </w:pPr>
            <w:r w:rsidRPr="00BE00C7">
              <w:rPr>
                <w:rFonts w:cs="Arial"/>
                <w:b w:val="0"/>
                <w:lang w:eastAsia="en-NZ"/>
              </w:rPr>
              <w:t>Three of seventeen were complaints pertaining directly lack of follow up and feedback.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action and resolution is communicated to the complainant.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to be followed up and feedback provided to the complainant.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Incidentals and accidents are reviewed and evaluated and documentation of this was evidenced in the resident files reviewed. Three of the families/representatives interviewed stated that their requests for input into care are not always communicated to staff, followed through or acted on and families are not always kept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the five families/representatives expressed concern in relation to family requests not always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ii) Communication is not always effective and families are not always kept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family/representatives requests are followed up. </w:t>
            </w:r>
          </w:p>
          <w:p w:rsidR="00EB7645" w:rsidRPr="00BE00C7" w:rsidP="00BE00C7">
            <w:pPr>
              <w:pStyle w:val="OutcomeDescription"/>
              <w:spacing w:before="120" w:after="120"/>
              <w:rPr>
                <w:rFonts w:cs="Arial"/>
                <w:b w:val="0"/>
                <w:lang w:eastAsia="en-NZ"/>
              </w:rPr>
            </w:pPr>
            <w:r w:rsidRPr="00BE00C7">
              <w:rPr>
                <w:rFonts w:cs="Arial"/>
                <w:b w:val="0"/>
                <w:lang w:eastAsia="en-NZ"/>
              </w:rPr>
              <w:t>ii) Ensure communication is effective and family are kept informed.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service is contracted out to a laundry service owned and operated by Oceania Healthcare Limited.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families/representatives and formal complaints identified that missing personal laundry and the time for the laundry to return is a concern.</w:t>
            </w:r>
          </w:p>
          <w:p w:rsidR="00EB7645" w:rsidRPr="00BE00C7" w:rsidP="00BE00C7">
            <w:pPr>
              <w:pStyle w:val="OutcomeDescription"/>
              <w:spacing w:before="120" w:after="120"/>
              <w:rPr>
                <w:rFonts w:cs="Arial"/>
                <w:b w:val="0"/>
                <w:lang w:eastAsia="en-NZ"/>
              </w:rPr>
            </w:pPr>
            <w:r w:rsidRPr="00BE00C7">
              <w:rPr>
                <w:rFonts w:cs="Arial"/>
                <w:b w:val="0"/>
                <w:lang w:eastAsia="en-NZ"/>
              </w:rPr>
              <w:t>As a result, some families prefer to take personal laundry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laundry is not always returned and there is a delay in personal laundry being returned.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the management of personal laundry to be monitored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Wesley Village</w:t>
    </w:r>
    <w:bookmarkEnd w:id="58"/>
    <w:r>
      <w:rPr>
        <w:rFonts w:cs="Arial"/>
        <w:sz w:val="16"/>
        <w:szCs w:val="20"/>
      </w:rPr>
      <w:tab/>
      <w:t xml:space="preserve">Date of Audit: </w:t>
    </w:r>
    <w:bookmarkStart w:id="59" w:name="AuditStartDate1"/>
    <w:r>
      <w:rPr>
        <w:rFonts w:cs="Arial"/>
        <w:sz w:val="16"/>
        <w:szCs w:val="20"/>
      </w:rPr>
      <w:t>17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