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Lansdowne Court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Lansdowne Court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31 October 2017</w:t>
      </w:r>
      <w:bookmarkEnd w:id="7"/>
      <w:r w:rsidRPr="009418D4">
        <w:rPr>
          <w:rFonts w:cs="Arial"/>
        </w:rPr>
        <w:tab/>
        <w:t xml:space="preserve">End date: </w:t>
      </w:r>
      <w:bookmarkStart w:id="8" w:name="AuditEndDate"/>
      <w:r w:rsidR="00A4268A">
        <w:rPr>
          <w:rFonts w:cs="Arial"/>
        </w:rPr>
        <w:t>31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Lansdowne Court provides rest home and hospital level care for up to 34 residents. The service is operated by the Ultimate Care Group and managed by a facility manager and a clinical services manager. Residents and families spoke positively about the care provided.</w:t>
      </w:r>
    </w:p>
    <w:p w:rsidRPr="00A4268A">
      <w:pPr>
        <w:spacing w:before="240" w:line="276" w:lineRule="auto"/>
        <w:rPr>
          <w:rFonts w:eastAsia="Calibri"/>
        </w:rPr>
      </w:pPr>
      <w:r w:rsidRPr="00A4268A">
        <w:rPr>
          <w:rFonts w:eastAsia="Calibri"/>
        </w:rPr>
        <w:t>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nurse practitioner.</w:t>
      </w:r>
    </w:p>
    <w:p w:rsidRPr="00A4268A">
      <w:pPr>
        <w:spacing w:before="240" w:line="276" w:lineRule="auto"/>
        <w:rPr>
          <w:rFonts w:eastAsia="Calibri"/>
        </w:rPr>
      </w:pPr>
      <w:r w:rsidRPr="00A4268A">
        <w:rPr>
          <w:rFonts w:eastAsia="Calibri"/>
        </w:rPr>
        <w:t xml:space="preserve">This audit has identified one area requiring improvement relating to care planning. Improvements have been made to restraint documentation addressing the area requiring improvement at the previous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was confirmed to be effective. There is access to interpreting services if required. </w:t>
      </w:r>
    </w:p>
    <w:p w:rsidRPr="00A4268A">
      <w:pPr>
        <w:spacing w:before="240" w:line="276" w:lineRule="auto"/>
        <w:rPr>
          <w:rFonts w:eastAsia="Calibri"/>
        </w:rPr>
      </w:pPr>
      <w:r w:rsidRPr="00A4268A">
        <w:rPr>
          <w:rFonts w:eastAsia="Calibri"/>
        </w:rPr>
        <w:t>A complaints register is maintained with any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facility quality and risk management plans include the goals and objectives, values and mission statement of the organisation and the current business plan.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needs are assessed by the multidisciplinary team on admission.  Shift handovers and communication sheets guide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residents’ files reviewed demonstrated that needs, goals and outcomes are identified. Residents and families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is overseen by a diversional therapist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in place.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Three enablers and one restraint were in use at the time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03"/>
        <w:gridCol w:w="1280"/>
        <w:gridCol w:w="1035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of Health and Disability Services Consumers’ Rights.  Information on the complaint process is provided to residents and families on admission and those interviewed knew how to do so. Forms are also available at reception and in a number of areas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one complaint has been received over the past year and that actions taken, through to an agreed resolution, are documented and completed within the timeframes. The action plan showed required follow up was promptly completed. The facility manager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know how to access interpreter services, although reported this was rarely required due to the fact that all current residents speak English. The facility manager confirmed the DHB interpreter service is readily available if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plan, which includes the annual business plan and strategic direction, is reviewed annually. It outlines the purpose, values, direction and goals and objectives of the organisation. The documents describe annual and longer term objectives and the associated operational plan. A sample of monthly reports to the national office showed adequate information to monitor performance is reported including financial performance, occupancy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facility manager who holds relevant qualifications and has been in the role for three years and at the facility for five years. Responsibilities and accountabilities are defined in a job description and individual employment agreement.  The facility manager confirmed knowledge of the sector, regulatory and reporting requirements and maintains currency through external study, regular meetings with other facility managers and relevant training courses the organisation supports her to attend. She also reported regular contact with the national office and the regional manager for the area who provide support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and MoH for residential aged care, respite and palliative care, health recovery and long term chronic health conditions. 33 residents were receiving services under the contracts (14 rest home, 17 hospital and two under the long term chronic health conditions contract)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internal audit activities, a regular resident satisfaction survey, monitoring of outcomes, clinical incidents including infections, medication errors and any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quality and risk team meetings, clinical and staff meetings. Staff reported their involvement in quality and risk management activities through the internal audit activities and the regular staff meetings. Relevant corrective actions are developed and implemented to address any shortfalls. Resident and family satisfaction surveys are completed annually. Resident meetings are held bi-monthly with a resident advocate present. Recent minutes reported a request by the residents to upgrade the outdoor areas to provide garden facilities able to be managed by the residents. The local Rotary were enlisted to assist, and subsequently new planter boxes have been built and residents are keenly involved in planting and maintaining their own flower gardens.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national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the identification, monitoring, review and reporting of risks and development of mitigation strategies. The manager is familiar with the relevant health and safety regulations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national office through the electronic quality system. Regular reports are then generated with information that is benchmarked with both organisational and sector targets and averages.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essential notification reporting requirements, including for pressure injuries. They advised there have been two section 31 notifications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The facility manager is the internal assessor for the programme. There are sufficient trained and competent registered nurses (four) who are maintaining their annual competency requirements to undertake interRAI assessments. Records reviewed demonstrated completion of the required training, some of which is now being completed on line, and the completion or scheduling of all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using the national tools, assessed need levels of residents and in consultation with staff.  An afterhours on call roster is in place, with staff reporting that good access to advice is available when needed.  Care staff reported there were adequate staff available to complete the work allocated to them, although additional time is needed for new admissions especially at hospital level. Residents and family interviewed confirmed availability of staff. Observations and review of a two week roster cycle demonstrated adequate staff cover has been provided, with staff replaced in any unplanned absence from a large casual pool.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 monthly GP/NP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were self-administering medications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CSM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satisfaction surveys and resident meeting minutes. Any areas of dissatisfaction were promptly responded to. Residents were seen to be given time to eat their meal in an unhurried fashion and those requiring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NP interviewed, verified that medical input is sought in a timely manner, that medical orders are followed, and care is of a high standard. Care staff confirmed that care was provided as outlined by verbal instructions, as documentation in care plans was often not updated (Refer standard 1.3.3.3).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trained diversional therapist.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six-monthly care plan review. A facility van is available for outings, which are often twice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The activities programme is discussed at the minuted residents’ meetings and indicated residents’ input is sought and responded to. Residents interviewed confirmed they find the programme meets their needs, however one family member made reference to no activity programme operating at the weekends.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Wound care management plans evidence ongoing evaluation of treatment effectiveness and of the wound status. Observations of odour and increased redness were responded to promptly, and adaption to management documented.  Evaluations are documented by the RN.  Short term care plans were consistently reviewed for infections, pain, weight loss and progress evaluated as clinically indicated and according to the degree of risk noted during the assessment process.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are not consistently occurring every six months in conjunction with the six-monthly interRAI reassessment (refer 1.3.3.3).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23 June 2018) is publicly displayed.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CSM at Ultimate Care Lansdowne Court is the infection control co-ordinator and reviews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Statistics verify infection rates are low.</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norovirus outbreaks at Ultimate Care Lansdowne Court in the past two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She was not available during this audit, but the facility manager demonstrated a sound understanding of the organisation’s policies, procedures and practice and confirmed the role and responsibilities for her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one resident was using a restraint and three residents were using enablers,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previous corrective action identified not all monitoring of restraints had been completed as required by staff on duty. Review of the current resident file who is using a restraint demonstrated that frequent monitoring now occurs when the restraint is in use to ensure the resident remains safe. This was also evidenced for resident files where enablers are in use. All records of monitoring had the necessary details. Staff interviews also confirmed their understanding of the need for accurate and regular monitoring to be completed. In addition a staff member is now allocated the task at the end of each shift to check that the monitoring records comply with the organisational requirements.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02"/>
        <w:gridCol w:w="1280"/>
        <w:gridCol w:w="7231"/>
        <w:gridCol w:w="2121"/>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the six files reviewed (one resident admitted April, the other in July) had no long-term care plan developed within three weeks of admission to identify the residents’ assessed needs. One of these files is of a resident with particularly complex needs requiring comprehensive input from specialist advisors. This advice, while present throughout the resident’s file, is not co-ordinated to be captured in an overall management plan that clearly defines the required management strategies for all staff to follow. Interviews with the RN and CSM confirm this finding.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identify verbal passing on of information is used to update residents’ care needs and verify documentation in care plans is often not up to date.  </w:t>
              <w:br/>
              <w:t xml:space="preserve">Three of the six files reviewed had long term care plans in place; however, no evidence of a nursing review in the previous six months was sighted. One of the files of a resident admitted within the previous three weeks, had an initial care plan in place, however had no short-term plan in place recording an incident and the required management strategies to guide the care around that incident, and possible interventions to avoid recurrence. Evidence was verified by observation, documentation and interviews.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 term care plans are not consistently developed with three weeks of admission, and where they have been developed, have not always been reviewed within the previous six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all residents have long term care plans developed and reviewed within the required time 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Lansdowne Court</w:t>
    </w:r>
    <w:bookmarkEnd w:id="58"/>
    <w:r>
      <w:rPr>
        <w:rFonts w:cs="Arial"/>
        <w:sz w:val="16"/>
        <w:szCs w:val="20"/>
      </w:rPr>
      <w:tab/>
      <w:t xml:space="preserve">Date of Audit: </w:t>
    </w:r>
    <w:bookmarkStart w:id="59" w:name="AuditStartDate1"/>
    <w:r>
      <w:rPr>
        <w:rFonts w:cs="Arial"/>
        <w:sz w:val="16"/>
        <w:szCs w:val="20"/>
      </w:rPr>
      <w:t>31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