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Bert Sutcliffe Retirement Village Limited - Bert Sutcliffe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Bert Sutcliffe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Bert Sutcliffe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August 2017</w:t>
      </w:r>
      <w:bookmarkEnd w:id="7"/>
      <w:r w:rsidRPr="009418D4">
        <w:rPr>
          <w:rFonts w:cs="Arial"/>
        </w:rPr>
        <w:tab/>
        <w:t xml:space="preserve">End date: </w:t>
      </w:r>
      <w:bookmarkStart w:id="8" w:name="AuditEndDate"/>
      <w:r w:rsidR="00A4268A">
        <w:rPr>
          <w:rFonts w:cs="Arial"/>
        </w:rPr>
        <w:t>25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Ryman Bert Sutcliffe provides rest home, hospital (geriatric and medical) and dementia level of care for up to 150 residents.  There were 87 residents at the time of the audit.</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The village manager is appropriately qualified and experienced and is supported by a clinical manager (registered nurse) who oversees the care centre.  There are quality systems and processes being implemented.  Feedback from residents and families was very positive about the care and the services provided.  An induction and in-service training programme is in place to provide staff with appropriate knowledge and skills to deliver care.</w:t>
      </w:r>
    </w:p>
    <w:p w:rsidRPr="00A4268A">
      <w:pPr>
        <w:spacing w:before="240" w:line="276" w:lineRule="auto"/>
        <w:rPr>
          <w:rFonts w:eastAsia="Calibri"/>
        </w:rPr>
      </w:pPr>
      <w:r w:rsidRPr="00A4268A">
        <w:rPr>
          <w:rFonts w:eastAsia="Calibri"/>
        </w:rPr>
        <w:t>The village opened 31 October 2016 and the management team and staff have implemented the Ryman quality and risk management system.</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and implemented Māori health plan in place.  Individual care plans reflect the cultural needs of residents.  Discussions with residents and relatives confirmed that residents and where appropriate, their families are involved in care decisions.  Regular contact is maintained with families including when a resident is involved in an incident or has a change in their current health.  Families and friends visit residents at times that suit them.  </w:t>
      </w:r>
    </w:p>
    <w:p w:rsidRPr="00A4268A">
      <w:pPr>
        <w:spacing w:before="240" w:line="276" w:lineRule="auto"/>
        <w:rPr>
          <w:rFonts w:eastAsia="Calibri"/>
        </w:rPr>
      </w:pPr>
      <w:r w:rsidRPr="00A4268A">
        <w:rPr>
          <w:rFonts w:eastAsia="Calibri"/>
        </w:rPr>
        <w:t xml:space="preserve">There is an established system implemented for the management of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assistant to the manager and clinical manager are responsible for the day-to-day operations.  Goals are documented for the service with evidence of regular reviews.  </w:t>
      </w:r>
    </w:p>
    <w:p w:rsidRPr="00A4268A">
      <w:pPr>
        <w:spacing w:before="240" w:line="276" w:lineRule="auto"/>
        <w:rPr>
          <w:rFonts w:eastAsia="Calibri"/>
        </w:rPr>
      </w:pPr>
      <w:r w:rsidRPr="00A4268A">
        <w:rPr>
          <w:rFonts w:eastAsia="Calibri"/>
        </w:rPr>
        <w:t xml:space="preserve">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for staff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seven days a week, twenty-four hours a day.  Residents and families report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Assessments, risk assessments, care plans, interventions and evaluations are completed by the registered nurses.  Care plans demonstrate service integration.  Residents and family interviewed confirmed they are involved in the care plan and review processes.  The general practitioner completes an admission visit and reviews the residents at least three-monthly.</w:t>
      </w:r>
    </w:p>
    <w:p w:rsidRPr="00A4268A" w:rsidP="00621629">
      <w:pPr>
        <w:spacing w:before="240" w:line="276" w:lineRule="auto"/>
        <w:rPr>
          <w:rFonts w:eastAsia="Calibri"/>
        </w:rPr>
      </w:pPr>
      <w:r w:rsidRPr="00A4268A">
        <w:rPr>
          <w:rFonts w:eastAsia="Calibri"/>
        </w:rPr>
        <w:t xml:space="preserve">The activity team provide an activities programme that is varied and interesting for each resident group.  The activity programme meets the abilities and recreational needs of the group of residents, including outings and entertainment.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 xml:space="preserve">The menu is designed by a dietitian at an organisational level and provides a range of dietary options that ensures individual and special dietary needs are accommodated.  Nutritious snacks are available 24-hours.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code of compliance.  Construction remains underway in the village.  There is a preventative and planned maintenance schedule in place.  Chemicals are stored safely throughout the facility.  </w:t>
      </w:r>
    </w:p>
    <w:p w:rsidRPr="00A4268A">
      <w:pPr>
        <w:spacing w:before="240" w:line="276" w:lineRule="auto"/>
        <w:rPr>
          <w:rFonts w:eastAsia="Calibri"/>
        </w:rPr>
      </w:pPr>
      <w:r w:rsidRPr="00A4268A">
        <w:rPr>
          <w:rFonts w:eastAsia="Calibri"/>
        </w:rPr>
        <w:t xml:space="preserve">All bedrooms have an ensuite.  There are adequate numbers of communal toilets.  There is sufficient space to allow for the movement of residents around the facility.  The hallways and communal areas are spacious and accessible.  The outdoor areas are safe and easily accessible. </w:t>
      </w:r>
    </w:p>
    <w:p w:rsidRPr="00A4268A">
      <w:pPr>
        <w:spacing w:before="240" w:line="276" w:lineRule="auto"/>
        <w:rPr>
          <w:rFonts w:eastAsia="Calibri"/>
        </w:rPr>
      </w:pPr>
      <w:r w:rsidRPr="00A4268A">
        <w:rPr>
          <w:rFonts w:eastAsia="Calibri"/>
        </w:rPr>
        <w:t xml:space="preserve">There are policies in place for emergency management.  There is a person on duty at all times with first aid training.  Housekeeping staff maintain a clean and tidy environment.  A dedicated laundry manager and his team manage laundry services on-site.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There were no residents with restraint or enablers during the audit.  Staff have received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The infection prevention and control team holds integrated meetings with the health and safety team.  A monthly infection control report is completed and forwarded to head office for analysis and benchmarking.  A six-monthly comparative summary is completed.  There have been no outbreaks in the care centre.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Health and Disability Commissioner’s (HDC) Code of Health and Disability Services Consumers’ Rights (the Code).  Information related to the Code is made available to residents and their families.  Three managers (one regional manager, one village manager, one clinical manager) and fifteen care staff (seven staff registered nurses (RNs), four caregivers, and four activities staff) interviewed understand how the Code is incorporated into their working environment.  Staff receive training about the Code during their induction to the service.  This training continues through the mandatory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reviewed in ten resident files (four hospital (including one respite resident), three rest home (including one resident in a serviced apartment) and three dementia care) were signed by the resident or their enduring power of attorney (EPOA).  Written consents were sighted for specific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directives and/or resuscitation status are signed for separately by the competent resident.  Copies of EPOA are kept on the resident’s file where required.  Caregivers and registered nurses (RN) interviewed confirmed verbal consent is obtained when delivering care.  Discussions with family members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 files of long-term residents have signed admission agreements and the two respite care residents had signed a short-term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provides opportunities for the family/enduring power of attorney (EPOA) to be involved in decisions.  The residents’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 opportunities to attend events outside of the facility including activities of daily living.  Interviews with staff, residents and relatives confirmed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and located in a visible location.  Information about complaints is provided on admission.  Interviews with all residents and family confirmed their understanding of the complaints process.  Staff interviewed could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that includes written and verbal complaints, dates and actions taken and demonstrates that complaints are being managed in a timely manner.  The complaints process is linked to the quality and risk management system.  Seven complaints reviewed for 2017 (year to date) have been managed in a timely manner and are documented as resolved.  The regional manager reported that all complainants are contacted by head office to ensure that their complaint is resolved.  If the complaint is not resolved, the regional manager becomes involved.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There is also the opportunity to discuss aspects of the Code during the admission process.  Eight relatives (two rest home, three hospital and three dementia) and eleven residents (six rest home with one in a serviced apartment, five hospital) stated they were provided with information on admission which included the Code.  Large print posters of the Code and advocacy information are displayed throughout the facility.  The managers reported having an open-door policy and described discussing the information pack with residents/relatives on admission.  Relatives and residents are informed in writing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policies that support the residents’ privacy and confidentiality.  A tour of the facility confirmed there are areas that support personal privacy for residents.  During the audit, staff were observed being respectful of residents’ privacy by knocking on doors prior to entering resident rooms, and ensuring doors were closed whilst assisting with care.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involves residents in decisions about their care.  Residents’ preferences are identified during the admission and care planning process with family involvement.  Instructions are provided in the admission agreement regarding responsibilities of personal belongings.  Caregivers interviewed described how choice is incorporated into residents’ cares.  Staff attend education and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in assessment and care planning and visiting is encouraged.  Links are established with Ngati Whatua Orakei and other community representative groups as requested by the resident/family.  There were no residents who identified as Māori at the time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are invited and encouraged to attend.  Discussions with relatives confirmed that residents’ values and beliefs are considered.  Residents interviewed confirmed that staff take into account their cultural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Management provide guidelines and mentoring for specific situations.  Interviews with all twenty-one staff (fifteen care staff, one assistant to the manager, one cook, two laundry staff, one cleaner, and one maintenance staff) confirmed their awareness and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three-yearly.  The content of policy and procedures are sufficiently detailed to allow effective implementation by staff.  Many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are collected against each service level, and reported through to Ryman Christchurch (head office)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Ryman programme.  Quality improvement plans (QIP) are developed where results do not meet expectations.  An electronic resident care system is used by all sites to report relevant data through to Ryman Christchurch.  The system of data analysis and trend reporting is designed to inform staff at facility level.  Management at facility level are then able to implement changes to practice, based on the evidence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for that is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  Evidence of families being kept informed is documented on the electronic database and in the residents’ progress notes.  All family interviewed stated they were well-informed.  Fifteen incident/accident forms and corresponding residents’ files were reviewed and all identified that next of kin were contacted.  Regular resident and family meetings provide a forum for residents to discuss issues or concerns.  </w:t>
            </w:r>
          </w:p>
          <w:p w:rsidR="00EB7645" w:rsidRPr="00BE00C7" w:rsidP="00BE00C7">
            <w:pPr>
              <w:pStyle w:val="OutcomeDescription"/>
              <w:spacing w:before="120" w:after="120"/>
              <w:rPr>
                <w:rFonts w:cs="Arial"/>
                <w:b w:val="0"/>
                <w:lang w:eastAsia="en-NZ"/>
              </w:rPr>
            </w:pPr>
            <w:r w:rsidRPr="00BE00C7">
              <w:rPr>
                <w:rFonts w:cs="Arial"/>
                <w:b w:val="0"/>
                <w:lang w:eastAsia="en-NZ"/>
              </w:rPr>
              <w:t>Access to interpreter services is available if needed for residents who are unable to speak or understand English.  There was one hospital resident with English as their second language.  Family were able to interpret.  The resident and family were not available to be interviewed.  Staff reported that they have learned some words in the resident’s language.  Translation sheets are also available in the resident’s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Bert Sutcliffe is a Ryman healthcare retirement village located in Birkenhead, Auckland.  This is a recently built retirement village that opened on 31 October 2016.  They are certified to provide rest home, hospital (geriatric and medical) and dementia levels of care for up to 150 residents.  This includes 30 serviced apartments that are certified to provide rest home level care.  Forty-one beds in the care centre are dual-purpose (rest home/hospital) beds, forty-one beds are hospital only and thirty-eight beds (across two units) are available in the secure unit for dementia level of care.</w:t>
            </w:r>
          </w:p>
          <w:p w:rsidR="00EB7645" w:rsidRPr="00BE00C7" w:rsidP="00BE00C7">
            <w:pPr>
              <w:pStyle w:val="OutcomeDescription"/>
              <w:spacing w:before="120" w:after="120"/>
              <w:rPr>
                <w:rFonts w:cs="Arial"/>
                <w:b w:val="0"/>
                <w:lang w:eastAsia="en-NZ"/>
              </w:rPr>
            </w:pPr>
            <w:r w:rsidRPr="00BE00C7">
              <w:rPr>
                <w:rFonts w:cs="Arial"/>
                <w:b w:val="0"/>
                <w:lang w:eastAsia="en-NZ"/>
              </w:rPr>
              <w:t>The village is on a sloping site with a ground level (level one) car park.  The entrance and reception is on level five of the care centre. The care centre is across four levels (level 2, 3, 4, &amp; level 5 is the entrance/administration area) with serviced apartments across six levels (level 1,5,6,7,8, and 9).  Level two includes two 19-bed dementia units.  There were 16 of 19 residents in one unit and 11 of 19 residents in the other unit.  On level three, there were 29 hospital residents in the 41-bed hospital unit including two hospital residents on respite.  On level four, there were three hospital residents and 27 rest home residents in the 41-bed dual-purpose unit including two rest home residents on respite.  There was one rest home resident in serviced apartments on level five.</w:t>
            </w:r>
          </w:p>
          <w:p w:rsidR="00EB7645" w:rsidRPr="00BE00C7" w:rsidP="00BE00C7">
            <w:pPr>
              <w:pStyle w:val="OutcomeDescription"/>
              <w:spacing w:before="120" w:after="120"/>
              <w:rPr>
                <w:rFonts w:cs="Arial"/>
                <w:b w:val="0"/>
                <w:lang w:eastAsia="en-NZ"/>
              </w:rPr>
            </w:pPr>
            <w:r w:rsidRPr="00BE00C7">
              <w:rPr>
                <w:rFonts w:cs="Arial"/>
                <w:b w:val="0"/>
                <w:lang w:eastAsia="en-NZ"/>
              </w:rPr>
              <w:t>No residents have been admitted to the care centre for the Ryman complimentary 48-hour stay since the facility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that guides quality improvement and risk management.  Specific values have been determined for the facility.  Organisational objectives for 2017 are defined with evidence of regular reviews and quarterly reporting to senior managers on progress towards meeting these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role since August 2016.  She has more than seven years of experience in aged care management and has attended over eight hours annually of professional development activities relating to managing a retirement village.  The village manager is supported by a regional manager, an assistant to the manager and a clinical manager/RN.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assistant to the manager are responsible during the temporary absence of the village manager, with support provided from the regional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facilities have a well-established quality and risk management system that is directed by Ryman Christchurch.  Quality and risk performance is reported across the facility meetings and to the organisation's management team.  Discussions with the managers and staff; and review of management and staff meeting minutes, demonstrated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two-monthly.  Minutes are maintained.  Annual resident and relative surveys for the care centre are scheduled to be completed later in the year.  Quality improvement plans (QIP) are developed where opportunities for improvement are identified.  Five QIPs have been established since the facility has opened and three of the five are signed off as completed.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They are communicated to staff, as evidenced in staff meeting minutes.  A revised policy (3 August 2017) confirmed that any residents who request the Ryman complimentary 48-hour stay are admitted to the care centre.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Service appropriate management systems, policies, and procedures are developed, implemented and regularly reviewed for the sector standards and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which is utilised for service improvements.  Clinical indicators are graphed showing trends in the data.  Results are communicated to staff across a variety of meetings.  Interviews with care staff confirmed their awareness of clinical indicator trends and strategies being implemented to improve residents’ outcomes.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The village manager is the health and safety officer and is supported by health and safety representatives (maintenance staff, gardener, and clinical manager, assistant to the village manager).  Health and safety meetings are conducted two-monthly.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Handrails have been installed in hazardous areas outdoors since their last audit.  Ryman has achieved tertiary level ACC Workplace Safety Management Practice (expiry 31 March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 sample of 15 incident/accident forms for 2017 identified that all are fully completed and include follow-up by a registered nurse.  The clinical manager is involved in the adverse event process, with links to the regular management meetings and informal meetings.  This provides the opportunity to review any incidents as they occur.  Neurological observations are completed if there is a suspected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could identify situations that would be reported to statutory authorities.  A section 31 folder is maintained that contains copies of section 31 reports.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Twelve staff files reviewed (one maintenance, one activities coordinator, seven caregivers, one laundry, one barista/receptionist, one gardener) included a signed contract, job description relevant to the role of the staff member, evidence of completed orientation programmes (general and specific to the position), application form and reference checks.  Eight-week performance reviews are completed following employment and are scheduled annually thereafter.</w:t>
            </w:r>
          </w:p>
          <w:p w:rsidR="00EB7645" w:rsidRPr="00BE00C7" w:rsidP="00BE00C7">
            <w:pPr>
              <w:pStyle w:val="OutcomeDescription"/>
              <w:spacing w:before="120" w:after="120"/>
              <w:rPr>
                <w:rFonts w:cs="Arial"/>
                <w:b w:val="0"/>
                <w:lang w:eastAsia="en-NZ"/>
              </w:rPr>
            </w:pPr>
            <w:r w:rsidRPr="00BE00C7">
              <w:rPr>
                <w:rFonts w:cs="Arial"/>
                <w:b w:val="0"/>
                <w:lang w:eastAsia="en-NZ"/>
              </w:rPr>
              <w:t>A register of RN and EN practising certificates is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It is tailored specifically to each position.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Staff training records are maintained.  The annual training programme is scheduled to exceed eight hours annually.  There is an attendance register for each training session and an individual staff member record of training.  Nursing staff (12 registered nurses (RNs) and 2 enrolled nurses) are supported to maintain their professional competency.  Seven of fourteen RNs have completed their interRAI training.  There are implemented competencies for nurses and caregivers related to specialised procedures and/or treatment including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One of eighteen caregivers who work in the dementia unit has completed their dementia qualification and the remaining seventeen are enrolled and are working on completing their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This defines staffing ratios to residents.  Rosters implement the staffing rationale.  The clinical manager is an experienced registered nurse with a current practising certificate who works full time Monday – Friday.</w:t>
            </w:r>
          </w:p>
          <w:p w:rsidR="00EB7645" w:rsidRPr="00BE00C7" w:rsidP="00BE00C7">
            <w:pPr>
              <w:pStyle w:val="OutcomeDescription"/>
              <w:spacing w:before="120" w:after="120"/>
              <w:rPr>
                <w:rFonts w:cs="Arial"/>
                <w:b w:val="0"/>
                <w:lang w:eastAsia="en-NZ"/>
              </w:rPr>
            </w:pPr>
            <w:r w:rsidRPr="00BE00C7">
              <w:rPr>
                <w:rFonts w:cs="Arial"/>
                <w:b w:val="0"/>
                <w:lang w:eastAsia="en-NZ"/>
              </w:rPr>
              <w:t>There are thirty serviced apartments certified to provide rest home level of care that are located across six floors.  One rest home level resident was living in a serviced apartment on level five at the time of the audit.  The serviced apartment SA) coordinator is an enrolled nurse and works Sunday – Thursday. The SA office is based on level five. The am shift is staffed by the unit coordinator or a senior caregiver with two (short shift) caregivers (7am – 1pm and 8am – 1pm).  The pm shift is staffed with two (short shift) caregivers (4pm – 9pm and 4.30pm – 7pm).  The remaining times are covered by the caregivers caring for rest home level residents.  Staff communicate via mobile telecommunications.  One serviced apartment resident who was interviewed reported that staffing levels are adequate.</w:t>
            </w:r>
          </w:p>
          <w:p w:rsidR="00EB7645" w:rsidRPr="00BE00C7" w:rsidP="00BE00C7">
            <w:pPr>
              <w:pStyle w:val="OutcomeDescription"/>
              <w:spacing w:before="120" w:after="120"/>
              <w:rPr>
                <w:rFonts w:cs="Arial"/>
                <w:b w:val="0"/>
                <w:lang w:eastAsia="en-NZ"/>
              </w:rPr>
            </w:pPr>
            <w:r w:rsidRPr="00BE00C7">
              <w:rPr>
                <w:rFonts w:cs="Arial"/>
                <w:b w:val="0"/>
                <w:lang w:eastAsia="en-NZ"/>
              </w:rPr>
              <w:t>Twenty-seven rest home and three hospital residents were living in the rest home/hospital unit (4th floor).  Staffing included a unit coordinator/RN or a staff RN, seven days a week on the am shift only.  Two long shift and two short shift caregivers cover the am and pm shifts and two caregivers cover the night shift.  The RN is based in the hospital (3rd floor) during the pm and night shifts.  The clinical manager reported that the three hospital level residents living on the 4th floor ambulate independently and have been assessed as safe to reside on this floor.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Twenty-nine hospital level residents were living on the 3rd floor.  A unit coordinator/RN is rostered five days a week.  Two staff RNs are rostered for the am shift and pm shifts and one RN is rostered for the night shift.  The hospital floor is supported by adequate numbers of caregivers.  </w:t>
            </w:r>
          </w:p>
          <w:p w:rsidR="00EB7645" w:rsidRPr="00BE00C7" w:rsidP="00BE00C7">
            <w:pPr>
              <w:pStyle w:val="OutcomeDescription"/>
              <w:spacing w:before="120" w:after="120"/>
              <w:rPr>
                <w:rFonts w:cs="Arial"/>
                <w:b w:val="0"/>
                <w:lang w:eastAsia="en-NZ"/>
              </w:rPr>
            </w:pPr>
            <w:r w:rsidRPr="00BE00C7">
              <w:rPr>
                <w:rFonts w:cs="Arial"/>
                <w:b w:val="0"/>
                <w:lang w:eastAsia="en-NZ"/>
              </w:rPr>
              <w:t>There are two secure dementia units with a shared office between.  There was a total of 27 residents (11 residents in one unit and 16 residents in the other unit).  A unit coordinator (RN) oversees both units five days a week and an EN or senior caregiver is rostered in the role the other two days of the week.  The RN in the hospital provides oversight for the pm and night shifts.  Four caregivers (two long and two short shift) are rostered in the am, three long and one short shift are rostered in the pm and three caregivers are rostered for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Extra staff can be either be called in for increased residents' requirements or be requested to stay for a longer shift.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scheduled seven days a week in the hospital and dementia units and five days a week in the rest home and serviced apartments.  Separate cleaning and laundry staff are rostered.</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that there are adequate staff numbers to attend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Residents’ files are protected from unauthorised access.  Entries are legible, dated and signed by the relevant caregiver or registered nurse including designation.  Individual resident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The relatives interviewed stated they were well informed upon admission.  The service has a well-developed information pack available for residents/families/whānau at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for long-term and short-term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Medicine management complies with ministry of health medication requirements.  Medication reconciliation is completed by the RN on delivery of medication and any errors fed back to pharmacy.  Registered nurses, enrolled nurses and senior caregivers who administer medications have been assessed for competency on an annual basis.  All staff interviewed could describe their role regarding medicine administration.  Education around safe medication administration has been provided.  Medications were stored safely in all the units.  Medication fridges were monitored weekly and all temperatures were within the acceptable range.  There were no expired medications.  All eye drops and creams were dated on opening.  There was one rest home resident who had been assessed by the RN and GP as competent to self-administer.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medication charts (six rest home, eight hospital, six dementia care) were reviewed on the electronic medication system.  All medication charts reviewed have ‘as required’ medications prescribed with an indication for use.  The effectiveness of ‘as required’ medications is entered into the electronic medication system.  Medication charts had been reviewed at least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The head chef is supported by a second chef, cooks, cook assistant (baking and sandwich preparation) and kitchen hands.  All staff had been trained in food safety and chemical safety.  The service has implemented an organisational initiative “Project Delicious” that has been designed to provide a choice of meals and meet all resident nutritional requirements.  Food is plated by the chef and delivered via hot boxes to the units where they are served by care staff in each of the unit kitchen/dining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is notified of any dietary changes such as resident with weight loss/weight gain or swallowing difficulties.  Resident dislikes and dietary preferences are documented on the weekly menu planner.  Modified diets such pureed/soft foods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temperatures are taken and recorded twice daily.  Chilled goods temperature is checked on delivery.  Twice daily food temperatures are monitored daily and recorded.  All foods were date labelled.  A cleaning schedule is maintained.  Feedback on the service is received through direct feedback, resident meetings, surveys and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potential residents and should this occur communicates this to potential residents/family/whānau.  Anyone declined entry is referred back to the needs assessment service or referring agency for appropriate placement and advice.  Reasons for declining entry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Risk assessments have been completed on admission and reviewed six-monthly as part of the evaluation process.  Ten files sampled indicated that all appropriate personal needs information was gathered during admission, in consultation with the resident and their relative where appropriate.  Files sampled contained appropriate assessment tools that were completed and reviewed, when there was a change to a resident’s health condition.  Care plans sampled were developed based on these assessments.  The interRAI assessment tool is implemented and links to care planning.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demonstrated service integration and input from allied health.  Residents’ care plans were resident-centred.  Support needs and interventions were documented to reflect the resident goals and the residents’ current health status.  Family members interviewed confirmed care delivery and support by staff is consistent with their expectations.  Residents (if appropriate) and family stated they were involved in the care planning and review process.  Behaviour management including triggers, interventions and successful de-escalation techniques were included in the long-term care plan in all three dementia care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When a resident's condition alters, the registered nurse initiates a review and if required refers to a GP or nurse specialist consultant.  Resident files evidence family are kept informed of any changes.  Short-term care plans are developed and either signed off once resolved or transferred to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residents with current wounds.  There were 17 wounds documented on the day of audit; nine in the hospital (four pressure injuries, one skin lesion and four skin tears) and eight wounds documented for rest home level (five skin tears, two skin lesions and one blister).  There were no wounds documented for the dementia unit.  The Ryman wound care nurse is involved in the management of complex wounds and pressure injuries.  There is access to wound nurse specialist at the district health board (DHB).  Adequate dressing supplies were sighted in the treatment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in place include (but not limited to); monthly weight, blood pressure and pulse, neurological observations post unwitnessed falls or identified head injuries, food and fluid charts, pain monitoring, blood sugar levels and behaviour charts.  Progress notes document changes in health and significant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(DT) coordinates and implements the engage programme in the dementia care area and an activity coordinator (AC) in each of the units (rest home, hospital and serviced apartments).  Each unit has a separate programme with some integrated activities open to other groups of residents as appropriate.  One AC is progressing through the diversional therapy qualifications, another AC has a Bachelor of Communication and one other has completed a Diploma in Health Services Management.  Three activity coordinators have a current first aid certificate.  The programme is delivered across seven days a week.  The engage programme has set activities with the flexibility for each service level to add activities that are meaningful and relevant for the resident group.  All activities staff had been trained to deliver the Ryman Triple A exercise programme.  Rest home residents in the serviced apartments attend either the serviced apartment programme or rest home programme.  There are adequate resources available.  One-on-one time is spent with residents who are unable to participate or choose not to be involved in the activity programme.  Special events and theme days are celebrated.  On the day of audit there were vibrant and busy preparations involving the community, staff and residents for a ‘masquerade ball’.  The movie theatre was showing ‘Romeo and Juliet’.  Village friends visit and participate in some activities.  There is a visiting pianist.  Pet assist animals visit regularly.  Community links include visits by people in the community and regular outings to places of interest.  All residents have the opportunity to go on outings in the mobility van or bus.  Residents interviewed stated they were very happy with their decision to live here, staff were very kind and attentive and they felt it was ‘really like a hotel, with the décor, the food and lots of activities on offer and you didn’t notice it was a hospital too’.  </w:t>
            </w:r>
          </w:p>
          <w:p w:rsidR="00EB7645" w:rsidRPr="00BE00C7" w:rsidP="00BE00C7">
            <w:pPr>
              <w:pStyle w:val="OutcomeDescription"/>
              <w:spacing w:before="120" w:after="120"/>
              <w:rPr>
                <w:rFonts w:cs="Arial"/>
                <w:b w:val="0"/>
                <w:lang w:eastAsia="en-NZ"/>
              </w:rPr>
            </w:pPr>
            <w:r w:rsidRPr="00BE00C7">
              <w:rPr>
                <w:rFonts w:cs="Arial"/>
                <w:b w:val="0"/>
                <w:lang w:eastAsia="en-NZ"/>
              </w:rPr>
              <w:t>The dementia care unit has a ‘sensory room’ (including lava lamps, music, CDs, aromatherapy, pampering, massage and hand massage) and a ‘quiet room’ (a tranquil setting with butterfly themed décor, suitably arranged furniture and access to the outside garden).  RNs interviewed state these two rooms have a profoundly positive influence on behaviour, families are involved and often will provide a hand massage for their loved one.</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are completed for residents on admission.  The activity plan in the files reviewed had been evaluated at least six-monthly with the care plan review.  The resident/family/whānau as appropriate are involved in the development of the activity plan.  Residents/relatives have the opportunity to feedback on the programme through the resident meetings and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residents long-term care plans had been evaluated by registered nurses’ six monthly.  Hospital and dementia care residents had not been at the service six months (opened in March).  Written evaluations describe the resident’s progress against the residents identified goals.  Changes to care are updated on the long-term care plan.  There is at least a three-monthly review by the medical practitioner.  Multi-disciplinary team (MDT) reviews are planned and involve families.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residents’ files reviewed.  The service facilitates access to other medical and non-medical services.  Referral documentation is maintained on residents’ files.  There was evidence sighted of a resident’s condition that had changed and the resident was referred for reassessment for another level of care (dementia to hospital level care).  Discussions with the clinical manager and RNs identified that the service has access to a wide range of support through the GP, Ryman specialists, nurse specialists, hospice and contracted allied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datasheets and product use information was readily available.  Staff have attended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code of compliance (expiry 7 Sept 2017).  Construction remains underway for the village.  This area is fenced off and safe.  The facility employs a full-time head maintenance person.  The maintenance person ensures daily maintenance requests are addressed.  He maintains a monthly planned maintenance schedule.  Essential contractors are available 24 hours a day, seven days a week.  Electrical testing and annual calibration has been completed.  Hot water temperatures in resident areas are monitored three-monthly.  Temperature recordings reviewed were between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Residents were observed to safely access the outdoor gardens and courtyards.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on level two is secure, it has an outdoor garden and lawn area, seating and shade and a separate smaller outdoor area off the sensory and quiet room area.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the cares as outlined in the residents’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Fittings and fixtures are made of easy clean surfaces that meet infection control practice.  There are communal toilets located closely to the communal areas.  Toilets have privacy locks.  Residents interviewed confirmed their privacy was assured when staff were assisting with personal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the level of care to be provided and for the safe use and manoeuvring of mobility aids including hoists.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rest home and hospital units have large open plan lounge areas.  The lounges have seating placed to allow for individual or group activities.  There is a large central kitchen and dining area in each unit as part of the open plan lounge, kitchen, dining experience.  The communal areas are easily accessible for residents using mobility aids or staff assistance.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of the cleaning and laundry service.  Laundry and cleaning audits are completed as per the Ryman programme.  There are dedicated cleaning and laundry managers with supporting cleaners and laundry staff on duty each day.  All personal clothing and linen is laundered on-site.  The laundry had an entry and exit door with separated clean and dirty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area for the storage of cleaning and laundry chemicals for the laundry.  The chemical provider monitors the use of chemicals and laundry processes.  The cleaning trolleys are kept in locked areas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happy with the cleanliness of their bedrooms and communal areas.  Residents confirmed their clothing was treated with care and returned to them in a timely manner.  The service provides a clothes labelling service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Emergency management, first aid and CPR are included in the mandatory in-service programme.  There is a first aid trained staff member on every shift.  The village has an approved fire evacuation plan and fire drills take place six-monthly.  Smoke alarms, a sprinkler system, exit signs, emergency lighting and gas cooking facilities are in place.  There are civil defence kits in the facility and adequate water storage on-site.   </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is evident in resident’s rooms, lounge areas, and toilets/bathrooms.  The call bell system is linked to staff pagers and to the call bell panels.  Residents can choose to wear an alarm pendant which is alarmed if they remove and walk away from it.  Staff also use a telecommunications system to answer the phone at reception after hours and to communicate with each other if assistance is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Security systems are being implemented to ensure residents are safe.  Staff confirmed that they conduct security checks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ventilated and heated.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prevention and control committee is combined with the health and safety committee, which meets bi-monthly.  The facility meetings also include a discussion of infection prevention and control matters.  The programme is sent out   annually from head office and directed via the quality programme.  The programme is reviewed annually at head office.  A six-month analysis is completed and reported to the governing body.  There are monthly benchmarking and management meetings.  The clinical manager is the infection control officer with a job description outlining the responsibilities for infection prevention and control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Residents and staff are offered the annual influenza vaccine.  There are adequate hand sanitisers and infection control signage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(combined with the health and safety committee), is made up of a cross section of staff from areas of the service.  The infection control nurse has completed infection control and prevention training through online training and previously with bug control.  The facility also has access to an infection prevention and control nurse specialist from the DHB, public health, GPs, local laboratory, infection control consultants and expertise from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suite of infection prevention and control policies appropriate for the size and complexity of the service.  Existing policies reflect the infection prevention and control standard SNZ HB 8134:2008, legislation and good practice.  The infection prevention and control policies link to other documentation and cross reference where appropriate.  Policies are readily accessible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nurse is responsible for coordinating/providing education and training to staff.  The orientation/induction package includes specific training around hand hygiene and standard precautions and training is provided both at orientation and as part of the annual training schedule.  Hand hygiene competencies are completed.  Resident education occurs as part of providing daily cares.  Care plans include ways to assist staff in ensuring this occurs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described the purpose and methodology for the surveillance of infections.  Systems in place are appropriate to the complexity of service provided.  All infections are reported on an electronic register and the infection prevention and control nurse receives a monthly report from Team Ryman.  Monthly data is reported to the combined infection prevention and control, and the health and safety meetings.  Staff are informed through the variety of meetings held at the facility.  The infection prevention and control programme links with the quality programme.  The infection prevention and control nurse uses the information obtained through surveillance to determine infection prevention and control activities, resources, and education needs within the facility.  The service has reduced urinary tract infections.  There have been no outbreaks in the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The policies and procedures are comprehensive, and include definitions, processes and use of restraints and enablers.  The clinical manager is the restraint coordinator.  On the day of audit, there were no residents with restraint or enablers.  Residents who are falling frequently have been assessed as unsafe to be restrained.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has been provided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Bert Sutcliffe Retirement Village Limited - Bert Sutcliffe Retirement Village</w:t>
    </w:r>
    <w:bookmarkEnd w:id="58"/>
    <w:r>
      <w:rPr>
        <w:rFonts w:cs="Arial"/>
        <w:sz w:val="16"/>
        <w:szCs w:val="20"/>
      </w:rPr>
      <w:tab/>
      <w:t xml:space="preserve">Date of Audit: </w:t>
    </w:r>
    <w:bookmarkStart w:id="59" w:name="AuditStartDate1"/>
    <w:r>
      <w:rPr>
        <w:rFonts w:cs="Arial"/>
        <w:sz w:val="16"/>
        <w:szCs w:val="20"/>
      </w:rPr>
      <w:t>24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