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Kumeu Village Aged Care Limited - Kumeu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Kumeu Village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Kumeu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July 2017</w:t>
      </w:r>
      <w:bookmarkEnd w:id="7"/>
      <w:r w:rsidRPr="009418D4">
        <w:rPr>
          <w:rFonts w:cs="Arial"/>
        </w:rPr>
        <w:tab/>
        <w:t xml:space="preserve">End date: </w:t>
      </w:r>
      <w:bookmarkStart w:id="8" w:name="AuditEndDate"/>
      <w:r w:rsidR="00A4268A">
        <w:rPr>
          <w:rFonts w:cs="Arial"/>
        </w:rPr>
        <w:t>18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Kumeu Village Retirement Home provides rest home, hospital and dementia (memory assist) level care for up to 83 residents. The service is operated by the owner/manager and is supported by a clinical manager.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records and staff records, observations and interviews with residents, family, management, staff and a general practitioner.</w:t>
      </w:r>
    </w:p>
    <w:p w:rsidRPr="00A4268A">
      <w:pPr>
        <w:spacing w:before="240" w:line="276" w:lineRule="auto"/>
        <w:rPr>
          <w:rFonts w:eastAsia="Calibri"/>
        </w:rPr>
      </w:pPr>
      <w:r w:rsidRPr="00A4268A">
        <w:rPr>
          <w:rFonts w:eastAsia="Calibri"/>
        </w:rPr>
        <w:t>The audit identified areas requiring improvement relating to the food service, medication management and interRAI assessme. Three of four areas identified as requiring improvement at the previous audit have been fully addressed and one remains open.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are adequate communication systems to ensure effective communication between staff, residents and their families and with other health providers. There is an interpreter policy and processes are in place to access interpreting service if and when needed.</w:t>
      </w:r>
    </w:p>
    <w:p w:rsidRPr="00A4268A">
      <w:pPr>
        <w:spacing w:before="240" w:line="276" w:lineRule="auto"/>
        <w:rPr>
          <w:rFonts w:eastAsia="Calibri"/>
        </w:rPr>
      </w:pPr>
      <w:r w:rsidRPr="00A4268A">
        <w:rPr>
          <w:rFonts w:eastAsia="Calibri"/>
        </w:rPr>
        <w:t>The service has a documented complaints management process which is implemented. There is only one outstanding complaint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has a documented quality plan for 2017 to 2018. Objectives are clearly set out along with the scope, direction, goals, values and mission statement of the organisation. The strategic planning covers all aspects of service provision to meet the needs of residents. The service has implemented five of 10 principles of the Eden philosophy There and these are well embedded into the organisation.</w:t>
      </w:r>
    </w:p>
    <w:p w:rsidRPr="00A4268A">
      <w:pPr>
        <w:spacing w:before="240" w:line="276" w:lineRule="auto"/>
        <w:rPr>
          <w:rFonts w:eastAsia="Calibri"/>
        </w:rPr>
      </w:pPr>
      <w:r w:rsidRPr="00A4268A">
        <w:rPr>
          <w:rFonts w:eastAsia="Calibri"/>
        </w:rPr>
        <w:t>The quality and risk plan and systems in place fully optimises and supports safe service delivery. Systems are in place for monitoring the services provided. Data is trended against previously collected data to show how the set objectives are being met. Quality and risk management activities and results are shared with staff, residents and family/whanau as appropriate and are reviewed monthly by the directors. Corrective action plans are being developed, implemented, monitored and signed off. Any actual and/or potential risks are identified and mitigated and the hazard register is up-to-date.</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Orientation is provided to all newly employed staff and a staff training programme ensures staff are competent to undertake their role. Staff are supported to undertake post graduate study relevant to their role. </w:t>
      </w:r>
    </w:p>
    <w:p w:rsidRPr="00A4268A">
      <w:pPr>
        <w:spacing w:before="240" w:line="276" w:lineRule="auto"/>
        <w:rPr>
          <w:rFonts w:eastAsia="Calibri"/>
        </w:rPr>
      </w:pPr>
      <w:r w:rsidRPr="00A4268A">
        <w:rPr>
          <w:rFonts w:eastAsia="Calibri"/>
        </w:rPr>
        <w:t>Staffing levels and skill mix more than meet contractual requirements, the Eden alternative principles, and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likes and dislikes of the residents with special needs catered for.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current and is publicly displayed at the entrance to the facility.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reflect current good practice and meet legislative and Health and Disability Services Standard requirements. Enablers are described as voluntary. Staff interviewed are well informed and education is provided at orientation and is ongoing annually. At the time of audit there were three enablers in use to allow residents to maintain their independence and four residents using a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Outbreak management is undertaken to meet legislative and reporting requirements.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19"/>
        <w:gridCol w:w="1280"/>
        <w:gridCol w:w="10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in a number of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had only one complaint that had not been closed out. The last correspondence is dated 17 June 2017. The service provider is awaiting a policy to be reviewed by the DHB and closure by the DHB if the policy is accepted. Previous complaints received had been dealt with appropriately with actions taken, through to an agreed resolution, are clearly documented and completed within specified timeframes in the Code. Action plans reviewed show any required follow-up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the complaints management and follow-up.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DHB when required. Staff knew how to do so, although reported this was rarely required due to staff being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longer-term objectives and the associated operational plans. The strategic plan and operational goals for the organisation are dated 2016 / 2018.  A sample of reports reviewed showed adequate information to monitor performance is reported including any emerging risks or issues. The service has a mission statement and home philosophy and vision `To embrace the philosophies of the Eden Alternative to help ensure the residents are living in human habitat that encourages continued growth and purpose’.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manager who is an owner director. The manager holds relevant qualifications and has worked in aged residential care for 20 years. The manager has completed higher level business study equivalent to Masters of Business Administration. Short course training such as `dementia beyond drugs` (Eden training) was completed.  The manger is suitably skilled and experienced for this role and has responsibilities and accountabilities defined in a job description and the individual employment agreement. The manager confirms knowledge of the aged care sector, regulatory and reporting requirements and maintains currency through ongoing education. The manager is supported by the operations manager, the quality manager, the clinical manager and the administration manager.  In addition, support is provided by the registered nurses who meet regularly monthly.</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hospital, dementia care (memory assist), respite care and long-term support – health conditions. On the day of the audit there are 81 residents in total, including 14 rest home level residents, 47 hospital level and 20 dementia care (memory assist) residents.  There are currently no residents receiving respite care or long term support for chronic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staff. This includes management of accidents and incidents, complaints, audit activities, a regular resident satisfaction survey, monitoring of outcome, clinical incidents including infections and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adequate reporting systems and discussion occurs on quality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review and analysis of quality indicators occurs and related information reported is discussed at the clinical governance meetings. A print out of clinical indicators is posted on the staff notice board and discussed at the staff meeting held every six weeks. Minutes reviewed included discussion on pressure injuries, restraints, falls, complaints, incidents/events, infections, audit results and activities. Staff reported their involvement in quality and risk activities through assisting with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as necessary and demonstrated a continuous process of quality improvements is occurring. Resident and family surveys are completed annually.  The last survey showed evidence of resident and family satisfaction with all aspects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and are current. The document control system ensures a systematic and regular review process, referencing of relevant sources, approval, distribution and removal of any obsolete documents. Staff are updated on new policies or changes to policies through a consultation process and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identification, monitoring and reporting any risk and development of mitigation strategies. The risk register show consistent review and updating of any risks, risk plans and the addition of new risks. The manager is aware of and has attended training in the Health and Safety at Work Act (2015) requirements and has implemented these new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reviewed show these are fully completed, incidents are investigated, action plans developed and actions are followed up in a timely manner. Adverse event data is collated, analysed and reported to the governance meeting and meeting minutes reviewed showed discussion in relation to trends, action plans and improvements made. Any trends are separated for rest home, hospital and memory loss.</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such as pressure injuries, health and safety, human resources, infection prevention and control or any coroner or DHB requirements. The manager advised there have been no notifications of any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through their initial orientation period. Staff records reviewed show documentation of completed orientation and a performance review is performed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Mandatory training requirements are defined and scheduled to occur over the course of the year. Care staff have either completed or commenced a New Zealand Qualification Authority education programme to meet the requirements of the provider`s agreement with the DHB. Staff working in the memory assist house, have either completed or are enrolled in the required education. Education records reviewed demonstrated completion of the required training. Training is provided in the Eden Alternative philosophy for all staff. Staff interviewed stated they were offered educational opportunities from tertiary level education to attending forums and/or seminars. The registered nurses reported that the annual performance appraisal process provides an opportunity to discuss individual training needs and review of competencies. Appraisals were current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The facility adjusts staffing levels to meet the changing needs of residents, supported by the use of a workload measurement tool. The shifts are well covered and registered nurses are available on every shift 24 hours a day, seven days a week.  An after-hours on call roster is in place, with staff reporting that good access to advice is available when needed. Care staff reported adequate staff were available and that they were able to complete their work allocated to them. Team work is encouraged. This was further supported by residents and family interviewed. Observation and review of a four-week roster cycle sample during the audit confirmed adequate staff cover has been provided. The organisation has some casual staff for short notice roster gaps. The registered nurses are trained in first aid.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details and National Health Index (NHI) numbers are used as the unique identifier on all residents` information reviewed. Clinical records were legible with the name and designation of the person making the entry identifiable. Archived and current records were stored appropriately and no personal or private resident information was on public display during the audit. The area identified for improvement from the previous audit has been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with a formal medication reconciliation undertaken six-monthly.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Imprest stock medication is not managed to meet the requirements of safe medication standards/guidelines.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medications at the time of audit. Policy identifies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three cooks and a team of kitchen hands and is in line with recognised nutritional guidelines for older people.  The menu follows a three-week rotation displayed in the kitchen and on notice boards. The menu has been reviewed by a qualified dietitian in November 2015, however it is not always followed. Two cooks were interviewed; one has a diploma qualification in food services whilst the other has 30 years of experience in the industry. The two cooks interviewed show evidence of compliance with infection control practices during the recent gastrointestinal outbreak (May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transportation, delivery and disposal comply with current legislation and guidelines, however there is evidence of aspects of food storage not compliant with legislation and guidelines. The service is in the process of compiling information for application of an approved food safety plan and registration. The fridge, chiller and deep freezers are closely monitored; however, this is not consistent.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on admission by a registered nurse to identify the resident’s food preferences, likes, dislikes and allergies and a dietary profile developed.  The personal food preferences, any special diets and modified texture requirements are made known to kitchen staff and accommodated in the daily meal plan.  The cook maintains a folder of resident’s dietary requirements that include likes/dislikes.  Alternative choices are offered. Residents in the secure unit have access to food and fluids to meet their nutritional needs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staff record weight on the monitoring chart which is reviewed by the quality coordinator and discussed with the GP and dietician. When a resident has weight loss or is at risk of malnutrition they are referred to the dietician for input as evidenced in the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satisfied with the meals. Residents report feedback on food services both verbally to the cooks and at the monthly residents’ meetings.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both electronic interRAI and paper based nursing assessment tools such as pain scale, falls risk, skin integrity, nutritional screening and depression scale, behaviour management and memory loss, as a means to identify any deficits and to inform care planning. The sample of care plans reviewed had an integrated range of resident-related information.  Not all residents have a current interRAI assessments completed. Residents and families confirmed their involvement in the assessment process. This was also a finding in the previous audit and has yet to be fully resolved.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were placed in the appropriate area for there designated level of care as per their NASC assessments. This was an issue in the previous audit and is fully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and care is appropriate to meet residents’ needs.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full time trained diversional therapist holding the national Certificate in Diversional Therapy, a full-time activity coordinator, a part time assistant and volunteers who work in the rest home, hospital and memory assist centre (dementia service) providing a seven-day cover. The lifestyle programme extends over the twenty-four-hour period for the memory assist centre. The church services and physical activity programmes are some of the examples of opportunities for integration of residents in the memory assist centre with those in the rest home and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Kumeu Village Retirement Home is progressing on the Eden journey having achieved 5 (of 10) Eden principles and are working towards achieving the remaining Eden principles and becoming a fully “Edenized” home.  Eden philosophy underpins projects and initiatives the service develops.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This is captured on the ‘my life map’, which is displayed in the front of the resident’s records.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and varied activities programme in place which incorporates the physical, psychological, mental and spiritual aspects as evidenced by the lifestyle calendar displayed on the notice board. On the day of audit, residents in all areas were observed being actively involved with a variety of activities. Outings for the residents are arranged on a regular basis to maintain community connections.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residents’ meeting minutes sighted showed resident’s input and evaluation of the effectiveness of the activities programme and opportunities for new ideas. Residents and families interviewed voiced their satisfaction for the activities programme and felt that recreational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activities attendance records are maintained for all residents and are reviewed by the diversional therapist and activity coordinators to assess the interest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Activity staff keep up to date with current best practice by attending the diversional therapy conference and training at least six-monthly with other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detailed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20 February 2018. The certificate is publicly displayed at the entrance to the facility. There have been no alterations to the existing building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infection prevention control (IPC) coordinator reviews all reported infections and these are documented.  New infections and any required management plan are discussed at handover, to ensure early intervention occurs. Short term care plans were evidenced in the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and IPC committee. Data is benchmarked externally against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Staff verbalised their understanding in relation to safe outbreak management. Evidence of reporting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understanding of the organisation`s policies, procedures and practice, the role and responsibilities involved.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four residents were using restraints and three residents were using enablers, which were the least restrictive and used voluntarily at their request. A similar process is followed for the use of enablers as is used for restraints.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restraint approval group meeting minutes dated 14 June 2017 and files reviewed of those residents who have approved restraints and from interview with staff. The two areas identified for improvement from the previous audit have been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covers environmental restraint and all appropriate assessments are performed by the registered nurse and discussed with the approval group. A full history of the resident is considered before initiating any form of restraint. Any risks identified are included in the care planning process. This was an area identified for improvement at the previous audit and has been effectively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only used as a last resort to maintain safety of residents, service providers or others. Staff in the memory assist unit are fully informed about restraint monitoring and the appropriate form utilised by the service. Education is provided as part of the staff training programme and this was reviewed. This was an area of improvement identified in the previous audit that has been closed out.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4"/>
        <w:gridCol w:w="1280"/>
        <w:gridCol w:w="7065"/>
        <w:gridCol w:w="2065"/>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and appropriate prescribing, administration, review, and medicine reconciliation processes occur. The service uses an electronic medication system with a two-monthly review undertaken as part of the internal audit system. The administration rounds viewed were performed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Three bottles of antibiotics and one box of paracetamol suppositories in the medication cupboard had a residents’ names crossed off and the word imprest handwritten on them. The four residents’ whose names had been crossed off were no longer at the facility. Not all medication is being returned to the pharmacy when it is no longer required or when the resident leaves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bottles of antibiotics and one box of paracetamol suppositories in the medication cupboard had the residents’ names crossed off and the word imprest handwritten on them. The residents’ whose names had been crossed off were no longer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safe medicines management are followed in relation to the imprest system and disposal and return of medications to the pharmacy.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dietician approved menu for aged care which was reviewed in November 2015. This is a three-week rotating menu. The approved menu is not always adhered to and staff do not record when there are variances to the menu. At the time of audit, the cooks interviewed stated they do not always follow the menu nor do they always order food to ensure the menu can be followed. </w:t>
            </w:r>
          </w:p>
          <w:p w:rsidR="00EB7645" w:rsidRPr="00BE00C7" w:rsidP="00BE00C7">
            <w:pPr>
              <w:pStyle w:val="OutcomeDescription"/>
              <w:spacing w:before="120" w:after="120"/>
              <w:rPr>
                <w:rFonts w:cs="Arial"/>
                <w:b w:val="0"/>
                <w:lang w:eastAsia="en-NZ"/>
              </w:rPr>
            </w:pPr>
            <w:r w:rsidRPr="00BE00C7">
              <w:rPr>
                <w:rFonts w:cs="Arial"/>
                <w:b w:val="0"/>
                <w:lang w:eastAsia="en-NZ"/>
              </w:rPr>
              <w:t>The nutritional assessment undertaken for each resident clearly reflects their food and fluid requirements, including special diets, which can be catered for by the service. Residents and family members confirmed that alternative choices are offered for each meal to meet residents’ likes and dislikes.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 food served for the mid-day meal was not in line with what was written on the menu. No documented evidence is kept when a menu change is made.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food, fluids and nutritional needs for the residents are provided in line with dietitian approved menu and any variance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manual is in place and identifies the policies and procedures. The policy details the principals of food safety, ordering, storage, cooking, reheating, waste management and food handling. However, fridge temperature monitoring as well as corrective actions for temperature readings outside the normal range is not consistently occurring. There is an allocated staff member who undertakes the fridge temperature recording and when they were on leave for a 10-day period the temperatures where only taken twice. There is a cooler unit which operates in the shop area of the foyer and at the time of audit is was recording a 12.8oC reading. Prior to turning up the temperature of the cooling it was freezing the food. The administration staff stated they had contacted the supplier of the new cooler unit and were waiting for them to arrive. Food was removed from the unit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Dry foods in the pantry are decanted, dated and sealed. Not all frozen foods are clearly labelled or dated. For example, left over pieces of frozen fish were found wrapped but not dated and not all meat was labelled or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Fridge/freezer temperature monitoring is not consistently occurring. When it was known that the cooler in the shop was not operating at optimal temperature staff continued to use it. </w:t>
            </w:r>
          </w:p>
          <w:p w:rsidR="00EB7645" w:rsidRPr="00BE00C7" w:rsidP="00BE00C7">
            <w:pPr>
              <w:pStyle w:val="OutcomeDescription"/>
              <w:spacing w:before="120" w:after="120"/>
              <w:rPr>
                <w:rFonts w:cs="Arial"/>
                <w:b w:val="0"/>
                <w:lang w:eastAsia="en-NZ"/>
              </w:rPr>
            </w:pPr>
            <w:r w:rsidRPr="00BE00C7">
              <w:rPr>
                <w:rFonts w:cs="Arial"/>
                <w:b w:val="0"/>
                <w:lang w:eastAsia="en-NZ"/>
              </w:rPr>
              <w:t>Not all frozen food is dated or labelled.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aspects of safe food management legislation and guidelines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outcomes and goals of residents are identified via the assessment process and are documented to form the service delivery care plan. Paper based assessments are still used for residents who have not been interRAI assessed. There are three RNs who are interRAI trained but only two undertake the assessment process. Not all residents have an interRAI assessment and this is an ongoing issue which is being monitored by the District Health Board. There are two more RNs booked on the August 2017 interRAI training course.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time of audit only 66.25% of residents are interRAI assessed. The overdue assessments range from 10 days to 475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interRAI assessments are completed and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Kumeu Village Aged Care Limited - Kumeu Village</w:t>
    </w:r>
    <w:bookmarkEnd w:id="58"/>
    <w:r>
      <w:rPr>
        <w:rFonts w:cs="Arial"/>
        <w:sz w:val="16"/>
        <w:szCs w:val="20"/>
      </w:rPr>
      <w:tab/>
      <w:t xml:space="preserve">Date of Audit: </w:t>
    </w:r>
    <w:bookmarkStart w:id="59" w:name="AuditStartDate1"/>
    <w:r>
      <w:rPr>
        <w:rFonts w:cs="Arial"/>
        <w:sz w:val="16"/>
        <w:szCs w:val="20"/>
      </w:rPr>
      <w:t>18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