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Nurse Maude Association - Nurse Maude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Nurse Maude Association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Nurse Maude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June 2017</w:t>
      </w:r>
      <w:bookmarkEnd w:id="7"/>
      <w:r w:rsidRPr="009418D4">
        <w:rPr>
          <w:rFonts w:cs="Arial"/>
        </w:rPr>
        <w:tab/>
        <w:t xml:space="preserve">End date: </w:t>
      </w:r>
      <w:bookmarkStart w:id="8" w:name="AuditEndDate"/>
      <w:r w:rsidR="00A4268A">
        <w:rPr>
          <w:rFonts w:cs="Arial"/>
        </w:rPr>
        <w:t>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Nurse Maude Hospital provides rest home and hospital level care for up to 36 residents. The service is operated by the Nurse Maude Association and managed by a general manager, and a clinical nurse manager. There have been no changes to the service nor facilities since the previous audit.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Canterbury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one area requiring improvement relating to monitoring of restraints. Improvements have been made to informing residents of the Code of Rights, to recording and completion of training, and planning and evaluation of residents’ care, addressing the four areas requiring improvement identified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and a strength of the service. There is access to interpreting services if required. The Code of Health and Disability Services Consumers’ Rights (the Code) was available and known to residents. </w:t>
      </w:r>
    </w:p>
    <w:p w:rsidRPr="00A4268A">
      <w:pPr>
        <w:spacing w:before="240" w:line="276" w:lineRule="auto"/>
        <w:rPr>
          <w:rFonts w:eastAsia="Calibri"/>
        </w:rPr>
      </w:pPr>
      <w:r w:rsidRPr="00A4268A">
        <w:rPr>
          <w:rFonts w:eastAsia="Calibri"/>
        </w:rPr>
        <w:t>Complaints and feedback are seen as an opportunity to make improvements.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Strategic, business and quality and risk management plans include the scope, direction, values and mission statement of the organisation, with a focus on combining plans to simplify and better integrate workstreams.  Monitoring of the services provided to the governing body is regular and effective. An experienced and suitably qualified person manages the organisation.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Changes are made to short and long term care plans as indicated.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Personalised Te Ora plans and the wider programme reflect a holistic approach.  </w:t>
      </w:r>
    </w:p>
    <w:p w:rsidRPr="00A4268A" w:rsidP="00621629">
      <w:pPr>
        <w:spacing w:before="240" w:line="276" w:lineRule="auto"/>
        <w:rPr>
          <w:rFonts w:eastAsia="Calibri"/>
        </w:rPr>
      </w:pPr>
      <w:r w:rsidRPr="00A4268A">
        <w:rPr>
          <w:rFonts w:eastAsia="Calibri"/>
        </w:rPr>
        <w:t xml:space="preserve">An electronic system enables medicines to be safely managed. The storage and monitoring of medicines meet requirements. Only registered nurses administer medicines and all have a range of completed medication competencies. </w:t>
      </w:r>
    </w:p>
    <w:p w:rsidRPr="00A4268A" w:rsidP="00621629">
      <w:pPr>
        <w:spacing w:before="240" w:line="276" w:lineRule="auto"/>
        <w:rPr>
          <w:rFonts w:eastAsia="Calibri"/>
        </w:rPr>
      </w:pPr>
      <w:r w:rsidRPr="00A4268A">
        <w:rPr>
          <w:rFonts w:eastAsia="Calibri"/>
        </w:rPr>
        <w:t>The kitchen and food service has a Hazard Analysis and Critical Control Point (HACCP) certification for food safety. A four week rotating menu has been reviewed by a dietitian to ensure the nutritional needs of the residents, including special requirements, are met.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of warrant of fitness. There have been no changes to the hospital building since the previous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Organisational policies and procedures reflect the reported philosophy that any use of a restraint is a last resort. Nurse Maude actively minimises the use of restraint. Use of enablers is voluntary for the safety of residents in response to individual requests. Staff are aware of the requirements around the assessment, approval and evaluation of restraint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comprehensive surveillance activities across the organisation. The criteria for infection surveillance relevant to each Nurse Maude service have recently been reviewed.  These are based on those recommended for long stay care facilities.  Data is reported and collated monthly and includes analysis of patterns and trend in the results.  These are reported through to senior management through the committee structure. Low rates of infection are recorded, with limited use of antibiotics.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7"/>
        <w:gridCol w:w="1280"/>
        <w:gridCol w:w="104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process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and discussed with the quality coordinator, showed that nine complaints have been received over the past year, across all the Nurse Maude services (that is hospital, hospice and community services), and that actions taken, through to an agreed resolution, were documented and completed within the required timeframes.  Action plans show any required follow-up and that improvements have been made where possible.  The quality coordinator manages the overall complaints process, with the relevant general manager, clinical nurse manager and quality facilitator involved in the investigation and development of any action plan required.  Staff interviewed understood the complaint process and what actions are required, should a resident or family member wish to make a complaint. There have been no complaints received from external sources since the previous audit for the hospital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Code of Health and Disability Services Consumers’ Rights (the Code), is included in an admission information pack. The admission pack is provided to residents and family members at the time of admission and registered nurses informed they discuss all the information in the pack to the resident and family members. A copy of the Code is on display and additional brochures are available at the front entrance. Family members and residents interviewed were familiar with the Code, with some being more familiar than others. All who were able to respond, also knew about the advocacy service. The corrective action raised at the previous audit has been satisfactorily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The informing of family members following an adverse event was also noted on incident forms reviewed. Communication with residents and family members was noted as a strength of the service. Regular ‘Whanau forums’ are held in the ward and meeting minutes reviewed demonstrated that this was an effective forum for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staff and family members being able to provide interpretation as and when needed, for the two residents who do not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Overview 2016-2020, updated in October 2016, outlines the vision, mission and values of the organisation along with national and regional context and strategic direction and objectives.  The key planned development for the aged residential care service is the new aged care residential facility being built on site and due for completion by September 2018. Advancing the use of information technology to support all aspects of service delivery continues to be a further key area of strategic development.  The planning process was discussed with three members of the Senior Management Team and demonstrated both a responsive and innovative approach to development of services to meet the changing needs of the population.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reports to the Board of Directors, Board Quality &amp; Risk Sub-committee, Clinical Governance Group, and the Annual Report 2016, showed adequate information to monitor performance is reported including financial performance, emerging risks and issues, quality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chief executive who is supported by the Senior Management Team (SMT) of nine, including the Director of Nursing and the General Manager of Care Coordination and Specialist Services, who oversees the aged care facility hospital. The hospital is managed by a Clinical Nurse Manager who is skilled and experienced in this role. Authority and accountability is defined through job descriptions and the organisational charts. Managers interviewed confirmed knowledge of the sector, regulatory and reporting requirements and maintain currency through attending conferences, membership of a wide range of local, regional and national committees and forums and ongoing professional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for the aged care hospital facility for respite care, hospital care, and palliative care. On the first day of the audit there were 25 residents receiving hospital level care and six residents receiving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satisfaction survey, monitoring of clinical incidents, including infections, falls, pressure injuries, restraint and skin tears.  The organisation participates in two external accreditation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Clinical Governance Group meeting, quality and risk team meetings and staff meetings. Staff reported their involvement in quality and risk management through audit activities and discussion of incidents and quality improvement projects. The quality facilitator supports staff and the quality activities within the hospital and discussed several improvements to patient outcomes as a result of improvement methodology (e.g., a reduction in falls with injuries, a reduction in skin tears and pressure injuries and reduced use of restraint).   Relevant corrective actions are developed and implemented to address any shortfalls. A centralised Corrective Action Register tracks progress with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most recent resident and family satisfaction survey showed a 23 percent increase in satisfaction with the activities programme, improved satisfaction with the food service, and a decrease in satisfaction around understanding the complaints process. Actions to address this and other improvements resulting from suggestions from family members have been completed. The regular whanau meeting provides a forum for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reference to the interRAI Long Term Care Facility (LTCF) assessment tool and process.  Policies are based on best practice and are current, with a systematic and regular review process, referencing of relevant sources, approval and distribution occurring. The document control system is in transition from the intranet system to ‘Sharepoint’, with all policies transferred to the new system, and identified staff testing the new system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described the processes for the identification, monitoring, review and reporting of risks and development of mitigation strategies. The risk register was reviewed and showed the addition of newly identified risk (both organisation and service specific) and regular review.  Regular reporting of risks to the Board occurs, as discussed with the CEO. The Human Resource Advisor takes overall responsibility for health and safety across the organisation; this is now a full-time role. This person is familiar with the Health and Safety at Work Act (2015) and requirements. There has been a strong focus on health and safety over the past 18 months. Risks have been identified and these were well displayed in the hospital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 complaints, compliments and incident form. A sample of incidents forms reviewed showed these were fully completed, incidents were investigated, action plans developed and actions followed-up in a timely manner.  Adverse event data is collated, analysed and reported to the quality team, Clinical Governance Group, and a summary to the Board. Categorising, Severity Assessment Code (SAC) rating, trending and analysis occurs with an array of graphs and data displayed for staff. The event management process was discussed with both the Quality Coordinator and Quality Facilitator.  There has been no SAC 1 or SAC 2 events in the Hospital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Quality Coordinator described essential notification requirements, including for pressure injuries, and reported there had been two notifications related to a generator failure following a power outage (which has since been addressed), and a change of Board membership.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electronic staff records reviewed confirmed the organisation’s policies are being consistently implemented and records are maintained. The newly implemented electronic system has a check process to ensure all aspects of the process have been fully completed.  Several volunteers work in the hospital area and undergo a similar appointment process.</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three months and then annually.  Volunteers have their own relevant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Requirements have recently been reviewed and include yearly, two yearly, three yearly, and ‘one-off’ requirements specific to the needs of each clinical area. Care staff have either completed or commenced a New Zealand Qualification Authority education programme to meet the requirements of the provider’s agreement with the DHB.  The full 10 modules of the Fundamentals of Palliative Care are being offered over the course of the year, with good uptake from staff. There are sufficient trained and competent registered nurses who are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Recording of training was occurring in two places at the time of audit, with a recent transition to a new electronic system completed. Until such time as managers feel comfortable with the new system, spreadsheets are also being maintained. The spreadsheet in the hospital was reviewed with the Clinical Nurse Manager and this showed, that with a few exceptions, all staff have completed mandatory training requirements, addressing a previous required improvement.  Annual performance appraisals were current. Staff felt well supported with the array of training and professional development opportunities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includes registered nurses (RNs), enrolled nurses (ENs), hospital aides, an activities coordinator, physiotherapist, and physiotherapy aide. The facility adjusts staffing levels to meet the changing needs of residents.  An afterhours on call roster is in place, with staff reporting that good access to advice is available when needed.   Clinical staff reported there were adequate staff available to complete the work allocated to them.  Residents and family interviewed supported this. Observations and review of a six-week roster cycle confirmed adequate staff cover has been provided, with staff replaced in any unplanned absence.  A casual pool of RNs, and ENs is available. There is 24 hour/seven days a week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policies and procedures have been reviewed, are easy to follow, reflect legislative requirements and are consistent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medicine system is contributing to the implementation of a safe system for medicine management and this was observed in operation. The system ensures good prescribing practices are upheld as an alert will come up if a required aspect of an entry is not completed. Three monthly GP reviews are evident within the electronic system. There is no verbal order or standing order system in place as a result of the electronic prescribing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enrolled nurses administer medicines in this facility and those observed demonstrated good knowledge and had a clear understanding of their roles and responsibilities related to each stage of medicine management.  All of the nurses have completed competencies to perform different aspects of medicine management such as for administration, insulin administration and syringe driver use, as appropriate to their level of training and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pre-packaged blister format from a contracted pharmacy. A registered nurse checks the medicines against each prescription when they arrive at the facility and signs this off in the residents’ files using a blue sticker to indicate the action. All medications sighted were within current use by dates. Pharmacist input is provided every two weeks when the bulk of the medicines arrive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ongoing checks as these medicines are accessed from a stock cupboard elsewhere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within the recommended range. All medicines are stored in a locked trolley in a locked medicine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self-administering any form of medication at the time of audit. Appropriate policies and procedures are in place if a resident wanted to and was able to self-medicate. </w:t>
            </w:r>
          </w:p>
          <w:p w:rsidR="00EB7645" w:rsidRPr="00BE00C7" w:rsidP="00BE00C7">
            <w:pPr>
              <w:pStyle w:val="OutcomeDescription"/>
              <w:spacing w:before="120" w:after="120"/>
              <w:rPr>
                <w:rFonts w:cs="Arial"/>
                <w:b w:val="0"/>
                <w:lang w:eastAsia="en-NZ"/>
              </w:rPr>
            </w:pPr>
            <w:r w:rsidRPr="00BE00C7">
              <w:rPr>
                <w:rFonts w:cs="Arial"/>
                <w:b w:val="0"/>
                <w:lang w:eastAsia="en-NZ"/>
              </w:rPr>
              <w:t>Any medication related error is reported through the incident reporting system and subsequently through the quality and risk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Nurse Maude’s food services are prepared on site by an external contractor. The kitchen and food services are registered as using the Hazard Analysis and Critical Control Point (HACCP) quality control food safety programme. The expiry date for this certificate is 31 October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dietitian audited the four weekly rotating autumn-winter menu in February 2017 and the report was sighted. The report states the menu has the potential to meet the nutritional needs of the residents and includes additional information on therapeutic diets for residents requiring food with modified textures.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undergoes a nutritional assessment on admission, which is reviewed at the six monthly multidisciplinary reviews (or more frequently if required). Food preferences and any special dietary needs are identified. Systems have been established to ensure these are accommodated and residents are weighed monthly to monitor progress. Trained volunteers make significant contributions in assisting residents with their meals. Residents are supported to have their meals at a time that suits them, which means meals may be delayed and reheated. Evidence of resident satisfaction with meals was verified during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Monthly audits of these systems are undertaken and reported according to the HACCP certification requirements. An infection control food service audit was also completed in December 2016. Food temperature monitoring is being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issues raised for corrective action at the certification audit have been addressed as service delivery plans of five residents were reviewed and all clearly described the required support and interventions in a comprehensive manner. Personal goals were identified from the assessments and were pertinent to the individual’s needs. Relevant interventions were detailed against each goal and the residents’ files sighted were consistent. There were multiple examples of updates to the care plans reviewed both at review timeframes and as a person’s condition changed. Examples of short term care plans also described required actions to support healing. Family members confirmed they are consulted about the needs of their relative, especially when they enter the service. Residents expressed trust that they are getting what they need and did not feel anything was being overlooked.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well presented, calm and appeared comfortable in the positions they were in whether in their bed or up in a lazy boy chair. A handover that ensured staff were informed of any changes with residents, or of special needs such as appointments, was observed. Staff confirmed they use the residents’ care plans to guide their actions and observations throughout the day confirmed that the care being provided was consistent with their needs, goals and the plans of care.  There was evidence that residents’ individualised needs were being accounted for. Residents and family members stated during interviews that they are all fully satisfied with the care and support being provided with comments from three people stating how much better this service is than previous experiences had been. The GP interviewed, verified that medical input is sought in a timely manner, that medical orders are followed, and care is of a high quality. A range of equipment and resources was available and was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who is about to complete the national Certificate in Diversional Therapy. A diverse range of creative activities were evident in the programme provided, which includes individual and group activities, regular events and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personal profile that includes a social assessment and history is undertaken when each resident is admitted to the Nurse Maude hospital. The information from this is used towards the development of the person’s activities plans. Activities assessments are regularly reviewed to help formulate an activities programme that is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activity needs are evaluated every six months (or as required) alongside the multidisciplinary review of their overall cares.  Residents and families/whānau are involved in this process. Residents interviewed confirmed they find the programme stimulating and relatives stated that even if they are not able to participate staff make the effort to ensure they can watch what is happening.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formally offered Monday to Friday. The documented programme is colour coded to demonstrate that a holistic approach is taken during programme planning. Programme plans are developed to cover two weekly intervals. Individualised attendance registers are also colour coded enabling the diversional therapist to see at a glance the level of involvement of a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(or as required) multidisciplinary evaluations are being undertaken and were evident in all residents’ files reviewed. Family and residents confirmed during interview that they are involved and expressed appreciation for the opportunity to be involved and to be permitted to contribute. Six monthly interRAI reassessment reports were in client files and there were examples of information transfer into care plans, which helped inform the evaluation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being developed for problems arising and examples of these included skin tears and infections. The short term care plans are being evaluated daily and the issue closed out once healing has occurred.  An example of changes made to a resident’s long term care plan as a result of evidence obtained from short term care plans was for a person who had become an increasing falls risk and required additional supervision when mobilising.  </w:t>
            </w:r>
          </w:p>
          <w:p w:rsidR="00EB7645" w:rsidRPr="00BE00C7" w:rsidP="00BE00C7">
            <w:pPr>
              <w:pStyle w:val="OutcomeDescription"/>
              <w:spacing w:before="120" w:after="120"/>
              <w:rPr>
                <w:rFonts w:cs="Arial"/>
                <w:b w:val="0"/>
                <w:lang w:eastAsia="en-NZ"/>
              </w:rPr>
            </w:pPr>
            <w:r w:rsidRPr="00BE00C7">
              <w:rPr>
                <w:rFonts w:cs="Arial"/>
                <w:b w:val="0"/>
                <w:lang w:eastAsia="en-NZ"/>
              </w:rPr>
              <w:t>The underlying issues related to the corrective action raised at the last audit about required changes identified in evaluation processes not being transferred into long and/or short term care plans were no longer evident as changes are consistently being made to long and/or short term care plans when required, whether or not a formal evaluation had been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any changes are reported to a registered nurse who takes the relevant action. In the residents’ files that were reviewed, progress notes had been documented for most shifts with a minimum of once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for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criteria are based on symptom and laboratory analysis for urinary tract, skin and soft tissue, fungal, eye, gastro-intestinal and upper and lower respiratory tract. Infections are recorded and reviewed by the infection control coordinator each month, to identify any emerging trends or patterns.  Data is collected across the whole organisation; however, information is maintained for individual services.  There are low rates of infections recorded.  Monthly surveillance data is collated, analysed and graphed.  Information about infection rates is shared with staff at regular staff meetings.  Graphs are produced that identify trends for the current year, and comparisons against previous years.  There have been no infection outbreaks in the hospital since the previous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describe an enabler and the different types of restraint. They also detail the expectations of staff around minimising restraint use, as well as the assessment, monitoring, safe use and evaluation processes. Lap belts are currently used as enablers by two residents who choose to use then when being transported in wheelchairs to the local shopping centre. Documentation in relation to this was sighted for one person in their Te Ora (activity) plan.  Staff spoke with were aware of the requirements for managing any use of restraint and have received training in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A six monthly hospital restraint report (June 2016 – December 2016) that was provided to the quality and risk team was viewed, as was the restraint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service provider actively minimises the use of restraint and implements practices such as lowering beds and increasing supervision to prevent its use whenever possible. However, one person uses two types of restraint, one of which is bed rails and the other a groin harness. Although these are both being used with decreasing frequency, especially the harness, there was evidence that the monitoring documentation for the use of bed rails as a restraint does not meet the organisation’s policies and procedures, or the requirements of the standard. This requires corrective action.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8"/>
        <w:gridCol w:w="1280"/>
        <w:gridCol w:w="5594"/>
        <w:gridCol w:w="3217"/>
        <w:gridCol w:w="1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enablers was voluntary, however while reviewing documentation of restraint use during this unannounced surveillance audit, it was observed that the monitoring records for a person using bed rails as a restraint were not meeting all requirements. Records of restraint use are being signed off following each shift but these do not demonstrate what checks have been done, or when, and do not detail what actions such as position changes, or providing food or fluids, or other comfort measures have been taken and when.</w:t>
            </w:r>
          </w:p>
          <w:p w:rsidR="00EB7645" w:rsidRPr="00BE00C7" w:rsidP="00BE00C7">
            <w:pPr>
              <w:pStyle w:val="OutcomeDescription"/>
              <w:spacing w:before="120" w:after="120"/>
              <w:rPr>
                <w:rFonts w:cs="Arial"/>
                <w:b w:val="0"/>
                <w:lang w:eastAsia="en-NZ"/>
              </w:rPr>
            </w:pPr>
            <w:r w:rsidRPr="00BE00C7">
              <w:rPr>
                <w:rFonts w:cs="Arial"/>
                <w:b w:val="0"/>
                <w:lang w:eastAsia="en-NZ"/>
              </w:rPr>
              <w:t>Although consent and assessment for the use of a groin harness was also available on file for this person, the groin harness has reportedly not been used for many months and monitoring processes for use of this form of restraint had been archived.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monitoring records for a person who has been assessed as requiring a restraint are being signed for at the end of the shift and do not reflect times of any interim checks and interventions, as required by the organisation’s policy and procedure and the restraint minimisation and safe practice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monitoring records for restraint use meet the requirements of Standard 2.2.3 and 2.2.4 of the restraint minimisation and safe practice standard.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Nurse Maude Association - Nurse Maude Hospital</w:t>
    </w:r>
    <w:bookmarkEnd w:id="58"/>
    <w:r>
      <w:rPr>
        <w:rFonts w:cs="Arial"/>
        <w:sz w:val="16"/>
        <w:szCs w:val="20"/>
      </w:rPr>
      <w:tab/>
      <w:t xml:space="preserve">Date of Audit: </w:t>
    </w:r>
    <w:bookmarkStart w:id="59" w:name="AuditStartDate1"/>
    <w:r>
      <w:rPr>
        <w:rFonts w:cs="Arial"/>
        <w:sz w:val="16"/>
        <w:szCs w:val="20"/>
      </w:rPr>
      <w:t>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