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Addington Lifestyle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Addington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2017</w:t>
      </w:r>
      <w:bookmarkEnd w:id="7"/>
      <w:r w:rsidRPr="009418D4">
        <w:rPr>
          <w:rFonts w:cs="Arial"/>
        </w:rPr>
        <w:tab/>
        <w:t xml:space="preserve">End date: </w:t>
      </w:r>
      <w:bookmarkStart w:id="8" w:name="AuditEndDate"/>
      <w:r w:rsidR="00A4268A">
        <w:rPr>
          <w:rFonts w:cs="Arial"/>
        </w:rPr>
        <w:t>12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Addington Lifestyle Care (Oceania Healthcare Limited) can provide care for up to 97 residents. This certification audit was conducted against the Health and Disability Service Standards and the service contract with the district health board. Occupancy on the day of the audit was 95. The service provides rest home, hospital and dementia level care.</w:t>
      </w:r>
    </w:p>
    <w:p w:rsidRPr="00A4268A">
      <w:pPr>
        <w:spacing w:before="240" w:line="276" w:lineRule="auto"/>
        <w:rPr>
          <w:rFonts w:eastAsia="Calibri"/>
        </w:rPr>
      </w:pPr>
      <w:r w:rsidRPr="00A4268A">
        <w:rPr>
          <w:rFonts w:eastAsia="Calibri"/>
        </w:rPr>
        <w:t>The audit process included the review of policies and procedures, the review of residents and staff files, and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regional and executive management team. Service delivery is monitored.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accessible in information packs and displayed within the service. Residents and family members confirmed they are informed and their rights are met, staff are respectful of their needs and communication and feedback is appropriate. </w:t>
      </w:r>
    </w:p>
    <w:p w:rsidRPr="00A4268A">
      <w:pPr>
        <w:spacing w:before="240" w:line="276" w:lineRule="auto"/>
        <w:rPr>
          <w:rFonts w:eastAsia="Calibri"/>
        </w:rPr>
      </w:pPr>
      <w:r w:rsidRPr="00A4268A">
        <w:rPr>
          <w:rFonts w:eastAsia="Calibri"/>
        </w:rPr>
        <w:t>Residents, families and enduring power of attorney are provided with information required prior to giving informed consent. Time is provided if any discussions and explanation are required relating to the Health and Disability Commissioner's Code of Health and Disability Services Consumers' Rights.</w:t>
      </w:r>
    </w:p>
    <w:p w:rsidRPr="00A4268A">
      <w:pPr>
        <w:spacing w:before="240" w:line="276" w:lineRule="auto"/>
        <w:rPr>
          <w:rFonts w:eastAsia="Calibri"/>
        </w:rPr>
      </w:pPr>
      <w:r w:rsidRPr="00A4268A">
        <w:rPr>
          <w:rFonts w:eastAsia="Calibri"/>
        </w:rPr>
        <w:t>A complaints register is maintained. Complaints are managed as per timeframes in the Health and Disability Commissioner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Addington Lifestyle Care. The business and care manager is a registered nurse, holds a current practicing certificate, and is qualified and experienced in management systems and processes. The clinical manager is new to the role and is supported by the clinical and quality manager (regional), the operations manager (regional) and the senior clinical and quality manager (national) regarding oversight of clinical care. </w:t>
      </w:r>
    </w:p>
    <w:p w:rsidRPr="00A4268A">
      <w:pPr>
        <w:spacing w:before="240" w:line="276" w:lineRule="auto"/>
        <w:rPr>
          <w:rFonts w:eastAsia="Calibri"/>
        </w:rPr>
      </w:pPr>
      <w:r w:rsidRPr="00A4268A">
        <w:rPr>
          <w:rFonts w:eastAsia="Calibri"/>
        </w:rPr>
        <w:t>Oceania Healthcare Limited has a documented quality and risk management system that supports the provision of clinical care at the service. Policies are reviewed at support office and are current. Quality and risk performance is reported through meetings at the facility and monitored by the organisation's management team through the business status reports. Benchmarking reports are produced that include incidents/accidents, infections, complaints and clinical indicators. Resident information is identifiable, accurately recorded, current, confidential, accessible when required and securely stored.</w:t>
      </w:r>
    </w:p>
    <w:p w:rsidRPr="00A4268A">
      <w:pPr>
        <w:spacing w:before="240" w:line="276" w:lineRule="auto"/>
        <w:rPr>
          <w:rFonts w:eastAsia="Calibri"/>
        </w:rPr>
      </w:pPr>
      <w:r w:rsidRPr="00A4268A">
        <w:rPr>
          <w:rFonts w:eastAsia="Calibri"/>
        </w:rPr>
        <w:t>There are human resource policies implemented around recruitment, selection, orientation, staff training and development. Staff, residents and family confirmed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and health services for older people at the district health board. When a vacancy occurs, sufficient and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Residents’ needs are assessed by the multidisciplinary team within the required timeframes on admission. There are registered nurses are on duty 24 hours a day in the facility. Registered nurses are supported by the clinical manager, healthcare assistants and allied health staff, including the physiotherapist, pharmacist, podiatrist and two contracted general practitioners. On-call arrangements for support from senior staff are in place and after hours general practitioner cover is available. Shift handovers and communication handover sheets guide continuity of care and service provision.</w:t>
      </w:r>
    </w:p>
    <w:p w:rsidRPr="00A4268A" w:rsidP="00621629">
      <w:pPr>
        <w:spacing w:before="240" w:line="276" w:lineRule="auto"/>
        <w:rPr>
          <w:rFonts w:eastAsia="Calibri"/>
        </w:rPr>
      </w:pPr>
      <w:r w:rsidRPr="00A4268A">
        <w:rPr>
          <w:rFonts w:eastAsia="Calibri"/>
        </w:rPr>
        <w:t>The person centred care plans are individualised, based on a comprehensive and integrated range of clinical information. Short-term care plans are developed to manage any new problems that might arise. All residents’ records reviewed demonstrated that needs, goals and outcomes are identified and reviewed on a regular basis. Residents and families interviewed reported being well informed and involved in the evaluations and care planning, and that the care provided is of a high standard. Residents are referred or transferred to other health services as required, with appropriate handovers.</w:t>
      </w:r>
    </w:p>
    <w:p w:rsidRPr="00A4268A" w:rsidP="00621629">
      <w:pPr>
        <w:spacing w:before="240" w:line="276" w:lineRule="auto"/>
        <w:rPr>
          <w:rFonts w:eastAsia="Calibri"/>
        </w:rPr>
      </w:pPr>
      <w:r w:rsidRPr="00A4268A">
        <w:rPr>
          <w:rFonts w:eastAsia="Calibri"/>
        </w:rPr>
        <w:t>The planned activity programme is delivered by two activities coordinators. The staff provide residents with a variety of activities and group activities and maintains and promotes their links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and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supported by staff with food safety qualifications. The kitchen was well organised,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 A preventative and reactive maintenance programme includes equipment and electrical checks.</w:t>
      </w:r>
    </w:p>
    <w:p w:rsidRPr="00A4268A">
      <w:pPr>
        <w:spacing w:before="240" w:line="276" w:lineRule="auto"/>
        <w:rPr>
          <w:rFonts w:eastAsia="Calibri"/>
        </w:rPr>
      </w:pPr>
      <w:r w:rsidRPr="00A4268A">
        <w:rPr>
          <w:rFonts w:eastAsia="Calibri"/>
        </w:rPr>
        <w:t>Residents are provided with accessible and safe external areas. Residents’ rooms are of an appropriate size to allow for care to be provided and for the safe use and manoeuvring of mobility aids. Essential emergency and security systems are in place and fire drills are completed every six months. Call bells are available to all residents and are monitored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enabler and four restraints are in use at the time of the audit. Restraint is only used as a last resort. A comprehensive assessment, approval and monitoring process with regular reviews occurs. Enabler use is voluntary for the safety of residents in response to individual requests. Staff receive education at orientation/induction to the service and annually. Education includes all required aspects of restraint and enabler use, alternatives to restraint and dealing with difficult and challenging behaviours.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infection control nurse who has attended relevant training for this role. The policies and procedures have been reviewed and terms of reference have been updated to guide staff. The infection control committee meets monthly. Specialist infection prevention and control advice is able to be accessed from the district health board; microbiologist; infectious disease physicians and other experts as required. The infection prevention and control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and supported by reference to the infection control manual. Regular education is provided.</w:t>
      </w:r>
    </w:p>
    <w:p w:rsidRPr="00A4268A">
      <w:pPr>
        <w:spacing w:before="240" w:line="276" w:lineRule="auto"/>
        <w:rPr>
          <w:rFonts w:eastAsia="Calibri"/>
        </w:rPr>
      </w:pPr>
      <w:r w:rsidRPr="00A4268A">
        <w:rPr>
          <w:rFonts w:eastAsia="Calibri"/>
        </w:rPr>
        <w:t>Aged care specific infection surveillance is undertaken, analysed, trended, benchmarked and results are reported through all levels of the organisation. Follow-up action is taken as and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5"/>
        <w:gridCol w:w="1280"/>
        <w:gridCol w:w="94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care facilities, with infection prevention definitions reflecting a focus on symptoms rather than laboratory results. The infection control nurse interviewed reported the following is included in surveillance for example, urinary tract infections, soft tissue, fungal, eye, gastro-intestinal, the upper and lower respiratory tract and other skin conditions. When an infection is identified, a record of this is documented on the infection reporting form used by the service provider. The infection control nurse reviews all of the reported infections. Monthly data is collated and analysed to identify any trends, positive causative factors and required actions. All results of surveillance are reported to the clinical manager for the monthly key performance indicator reporting to support office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results of surveillance are shared with staff via staff meetings (minutes sighted) and at staff handovers. Handover was observed in the hospital between shifts and examples of infection prevention and control issues were explained by the registered nurse providing the handover to ensure early intervention occurs. Graphs are produced that identify trends for the current year and a summary is documented. Data is benchmarked with other services in the organisation and this provides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they receive services that meet their needs and they receive information relative to their needs. Staff receive education on the Health and Disability Commissioner Code of Health and Disability Services Consumers' Rights (the Code) during their induction to the service and through the annual mandatory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had training in the Code during the previous 12 months and interviews with the staff confirmed their understanding of the Code. Examples were provided on ways the Code is implemented in their everyday practice including: maintaining residents' privacy; informed consent; giving residents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courteous and polite attitudes towards residents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Resident files identified informed consent is obtained. Interviews with staff confirmed their understanding of informed consent processes.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Service information pack includes information regarding informed consent. The BCM and CM discuss informed consent processes with residents and their families during the admission process. The policy and procedure includes guidelines for consent for resuscitation/advance directives.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information packs provided to residents and family on admission to the service. Written information on the role of advocacy services is also provided to complainants at the time when their complaint is acknowledged. Staff training regarding advocacy services was last provided in 2017 and as a component of the Oceania annual ‘grow, educate and motivate’ (GEM)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advocate visits the service, as confirmed by the management team. Family and residents confirmed the service provides opportunities for the family/EPOA to be involved in decisions and they state they are informed about advocacy services. Family members in the dementia unit confirmed they act as advocates for their family member and also for other residents if they identify any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and register. Complaints reviewed indicated complaints are investigated promptly and issues are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and residents and family stated that these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lodged with the Christchurch District Health Board which has been closed out. There have been no complaints lodged with the Health and Disability Commissioner or any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and the clinical manager (CM) discuss the Code with residents and their family on admission. Discussion relating to the Code is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Addington Lifestyle Care has a philosophy that promotes dignity, respect and quality of life. The service ensures that each resident has the right to privacy and dignity. The residents’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or on the incidents reviewed in residents’ files. Residents, staff, family and the general practitioner confirmed there was no evidence of abuse or neglect. Staff confirmed they are aware of the need to ensure residents are not exploited, neglected or abused.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A Māori health plan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The BCM stated that a kaumātua can be accessed by the service to support staff on tikanga protocols and general advice via the Christchurch District Health Board. Staff are aware of the importance of whānau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Staff and resident interviews confirmed there are choices for residents regarding their care and services. Information gathered during assessment includes the resident’s cultural values and beliefs. The initial care plan, the long-term care plan and interRAI assessment are based on this information.</w:t>
            </w:r>
          </w:p>
          <w:p w:rsidR="00EB7645" w:rsidRPr="00BE00C7" w:rsidP="00BE00C7">
            <w:pPr>
              <w:pStyle w:val="OutcomeDescription"/>
              <w:spacing w:before="120" w:after="120"/>
              <w:rPr>
                <w:rFonts w:cs="Arial"/>
                <w:b w:val="0"/>
                <w:lang w:eastAsia="en-NZ"/>
              </w:rPr>
            </w:pPr>
            <w:r w:rsidRPr="00BE00C7">
              <w:rPr>
                <w:rFonts w:cs="Arial"/>
                <w:b w:val="0"/>
                <w:lang w:eastAsia="en-NZ"/>
              </w:rPr>
              <w:t>Staff are familiar with how translating and interpreting services can be accessed. Residents in the service did not require interpreting services on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Addington Lifestyle Care implements the Oceania Healthcare Limited (Oceania) policies and procedures based on good practice, current legislation and guidelines. Staff training includes discussion of the staff code of conduct and prevention of inappropriate care. Interviews confirmed awareness of how to identify and manage discrimination, abuse and neglect, harassment and exploitation. There were no complaints recorded in the complaints register for the previous 12 months relating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outline the responsibilities of position, including ethical issues relevant to the role. Staff complete orientation and induction which includes recognition of discrimination, abuse and neglect. Staff confirmed their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Oceania policies to guide practice. The policies align with the Health and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framework includes their internal audit programme. Benchmarking occurs across all the Oceania facilities. There is a training programme for all staff and managers are encouraged to complete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Procedures guide staff on the process to ensure full and frank open disclosure is available. Family are informed if the resident has an incident/accident, has a change in health or a change in needs, as evidenced in completed accident/incident forms. Family confirmed they are invited to the care planning meetings for their family member and can attend the residents’ meetings. Families confirmed they are well informed. Family contact is recorded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The admission agreements reviewed were signed on the day of admission. Family of residents in the dementia unit state they can raise any issues on behalf of their family member and believe these are followed up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Addington Lifestyle Care is part of the Oceania Healthcare Limited (Oceania) with the executive management team providing support to the service. Communication between the service and managers occurs monthly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mission statement and philosophy are displayed at the entrance to the facility. Information in booklets are given to new residents and staff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(BCM) supported by a clinical manager (CM). The BCM has been in the role for four years .The CM has been in the position for five weeks, holds a current annual practising certificate and is supported by the clinical and quality manager (CQM). The management team is well supported in their roles and have completed appropriate induction and orientation to their roles. The facility can provide care for up to 97 residents for rest home, hospital, dementia, young people with disability and respite care.</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audit there were 95 residents living at the facility including 25 residents requiring rest home level of care, 42 residents requiring hospital level of care and 28 requiring dementia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the CM is responsible for the day to day operation of the service and is supported by a senior registered nurse, the regional CQM and the regional operations manager. In the absence of the CM, the BCM with the support and help of the regional CQM, ensures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Addington Lifestyle Care uses the Oceania Healthcare Limited (Oceania)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organisational policies and procedures are available to staff and guide service delivery. The policies and procedures are relevant to the scope and complexity of the service; reflect current accepted good practice, and reference legislative requirements. The Oceania management group reviews all policies with input from relevant personnel. New and revised policies are presented to staff to read and sign to evidence they have read and understood the policy. Staff confirm they are advised of updated policies and those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number of clinical indicators such as: complaints; incidents and accidents; surveillance of infections; pressure injuries; falls; medication errors and implementation of an internal audit programme. Completed audits for 2016 and 2017, clinical indicators and quality improvement data is recorded on various registers and forms. Quality improvement data provides evidence that data is being collected, collated and analysed to identify trends. Where required, corrective action plans are developed, implemented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communication with all staff, residents and family through the facility’s meetings. Staff meetings evidence all aspects of quality improvement, risk management and clinical indicators are discussed. Staff report that they are kept informed of quality improvements. Copies of meeting minutes are available for review for staff unable to attend the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2017 shows they are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There is a hazard register that identifies health and safety risks as well as risks associated with human resource management, legislative compliance, contractual risks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in which the service is required to report and notify statutory authorities, including unexpected deaths, police attending the facility, sentinel events, infectious disease outbreaks and changes in key management roles. Evidence was sighted confirming that the Ministry of Health had been notified of the new CM appointment.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evidence that staff document adverse, unplanned or untoward events on an accident/incident form which are signed off by the BCM. There have been no deaths referred to the coroner or essential notifications to Ministry of Health and district health board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relation to human resource management are available and implemented. The skills and knowledge required for each position is documented in job descriptions.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 annual training schedule documented. Staff are also supported to complete education via external education providers. Staff have completed training around pressure injuries in 2016 and 2017. Individual staff attendance records and attendance records for each education session were reviewed and evidenced ongoing education is provided. Nine registered nurses have completed interRAI assessments training and competencies.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a number of tasks, including personal cares. The staff orientation covers the essential components of the service provided. Healthcare assistants confirm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required to be completed by clinical staff. There was evidence in the clinical staff files reviewed of competencies relating to: hoists; oxygen use; hand washing; wound management; medication management; moving and handling; restraint; nebuliser; blood sugar level testing; insulin administration; and assisting residents to shower.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83 staff, including the management team, clinical staff, a diversional therapist, and household staff. There is always a registered nurse on each shift. The BCM and CM are on call after hours.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of residents’ records. Relevant resident care documentation can be accessed in a timely manner. The service retains relevant and appropriate information to identify residents and track records. Information containing sensitive resident information is not displayed in a way that could be viewed by other residents or members of the public. Archived records are securely stored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identifiers. The clinical records are integrated and include information such as medical notes, assessment information and reports from other health professionals. Medication charts are kept separate from residents’ files. Resident files and medication charts are accessed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This was verified with copies of the authority and approval being kept in each resident’s individual record reviewed. Prospective residents and/or their families are encouraged to visit the facility prior to admission and meet with the business and care manager (BCM). This was observed during the audit. The residents/family/representative are also provided with written information about the service and the admission process. The organisation seeks updates and information from the NASC Service and/or the general practitioner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Resident records reviewed contained demographic detail and assessments completed. Signed and dated resident admission agreements are held separately as per Oceania policy in the BCM’s office and are locked in a filing cabinet. Legislative and contractual requirements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uses the DHBs ‘yellow envelope’ system to facilitate a transfer to the DHB to and from acute services. An escort is arranged as necessary. A copy of the medication record and the information record of the resident is also included in the envelope at the time of transfer. Exit, discharge or transfer is managed in a planned and coordinated manner by the registered nurses. The GP commented during interview on this process and was satisfied with the care provided by staff. Staff demonstrated open communication between all services, the resident and the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using an electronic medication management system which was observed in the dementia unit on the day of the audit. The staff observed demonstrated knowledge and a clear understanding of the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 is supplied from a contracted pharmacy in a pre-packaged format. These medications are checked by the receiving registered nurses in each service, against the prescription. Clinical pharmacy audits are performed six monthly by the contracted pharmacy. No medications sighted were out of date. A system for return of medicines to pharmacy is in place.</w:t>
            </w:r>
          </w:p>
          <w:p w:rsidR="00EB7645" w:rsidRPr="00BE00C7" w:rsidP="00BE00C7">
            <w:pPr>
              <w:pStyle w:val="OutcomeDescription"/>
              <w:spacing w:before="120" w:after="120"/>
              <w:rPr>
                <w:rFonts w:cs="Arial"/>
                <w:b w:val="0"/>
                <w:lang w:eastAsia="en-NZ"/>
              </w:rPr>
            </w:pPr>
            <w:r w:rsidRPr="00BE00C7">
              <w:rPr>
                <w:rFonts w:cs="Arial"/>
                <w:b w:val="0"/>
                <w:lang w:eastAsia="en-NZ"/>
              </w:rPr>
              <w:t>Drugs are stored securely in the hospital in accordance with requirements. The drugs are checked weekly by two registered nurses where appropriate and this documented in red ink in the drug register reviewed. Six month stock checks are completed and a stamp is used to verify this check and balances are correct.</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fridges are checked and temperatures are recorded daily. Temperatures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The electronic system is password access only. All allergies are documented in red or any other alerts as required. The three monthly review is consistently recorded and this was verified in the sample of residents medication records reviewed. Prescribing in line with best practice was noted, including the management for pro re nata (PRN) medicines.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the audit. Appropriate processes are in place to ensure this is managed in a safe manner, should it be needed.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manager and recorded on an incident form as per protocol. The resident and/or the designated representative would be advised should an error occur.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service operations policies, guidelines and appendices were current. Job descriptions for the executive chef and assistants are clearly documented in the manual to guide staff. The food service is provided on site by the executive chef and kitchen team and is line with recognised nutritional guidelines for older people. The menu is reviewed by the organisation’s national dietitian and this has been completed in the last two years. Any recommendations made at the time have been implemented. The service has a summer and winter menu. The daily menu is documented on the whiteboard in the dining rooms in each service areas. Special events are catered for such as the ‘mid-winter Christmas lunch’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Food temperatures, including high risk items, are monitored appropriately and recorded as part of the plan. The executive chef and eight of ten staff have completed all food safety and hand hygiene requirements including NZQA recognised qualifications. The two staff who have not completed the food safety course have recently been employed and have completed orientation for working in the kitchen. Certificates are displayed on the kitchen education board.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perform a nutritional assessment for each resident on admission to the facility and a dietary profile is developed. A copy is given to the executive chef and a copy is retained in the resident’s individual record. The personal preferences, any special diets and modified texture requirements are made known to kitchen staff and accommodated in the daily meal plan. Residents in the secure unit have access to food and fluids to meet their nutritional needs at all times. Special equipment and resources to meet resident’s nutritional needs is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assistance is available to residents as needed. Resident satisfaction with meals was evidenced in the resident/family satisfaction survey completed annually and confirmed during interviews with the executive chef, activities coordinators,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at the time, the local NASC is advised to ensure the prospective resident and family are supported to find an appropriate care alternative. When the needs of a resident change,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recognised nursing assessment tools such as the Abbey Pain Scale, Braden Scale, fall risk, skin integrity, nutritional screening and nutritional supplement screening and depression scale as means to identify any deficits and to inform care planning. The sample of PCCPs reviewed have an integrated range of resident related information. All residents have current interRAI assessments completed by one of nine registered nurses who are trained interRAI assessors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PCCPs reflected the support needs of residents and the outcomes of the integrated assessment process and other relevant clinical information. The PCCPs evidence service integration with the progress records, activities records, medical and allied health professional’s notations clearly documented, informative and relevant. Any change in care required is documented and verbally passed on to staff concerned. Resident and families reported participation in the development and ongoing evaluation of the care plans. The PCCPs are signed by family/resident and staff who have assisted in the care of the resident, for example, the activities coordinator, the physiotherapist, healthcare assistant and the registered nurse evaluating the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medical input is sought in a timely manner, medical orders are followed, and care is well managed. Registered nurses and healthcare assistants interviewed confirmed that care was provided as outlined in the documentation. A range of equipment and resources were available, suited to the level of care provided and in accordance with the residents’ identified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currently by two activities coordinators. A diversional therapist has been employed and will be commencing the role as per the roster sighted. The activities coordinators interviewed discussed the recreational assessment which is completed when residents are admitted. The purpose of the recreational assessment is to ascertain residents’ needs, interests, abilities and social requirements. Activities assessments are regularly reviewed to help formulate an activities programme/calendar that is meaningful to the residents. The residents’ activity needs are evaluated six monthly or more often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planned weekly activities calendar sighted matches the skills, likes, dislikes and interests identified in the assessment information. The activities calendars are displayed in all services and residents receive a copy as well. Activities reflect residents’ goals, ordinary patterns of life and include normal community activities. Individual, group and one-on-one activities are offered across all services. Examples include craft activities, exercises to music, housie, newspaper reading, happy hour and sing-a-long sessions. External outings in the community are offered. Entertainment and visitors from the community make up a significant part of the activities programme reviewed.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regularly and residents’ input is sought and responded to. Resident and family surveys demonstrated satisfaction with the programme and confirmed information is used to improve the range of activities offered. Residents interviewed stated they find the programme fun and interesting.</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individual people living there. Activities are offered at times when residents are most physically active and/or restless. This is reflective on the 24 hour assessment wheel utilised. Adequate resources are provided by the activities coordinators to meet the needs of individual residents. The activities programme for the dementia unit had been signed off by the previous diversional therapist before they resigned from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The healthcare assistants interviewed understood about reporting any changes observed to the registered nurse or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Formal care evaluations occur six monthly in conjunction with the six monthly interRAI reassessment or as residents’ needs change. Evaluations are documented by the registered nurse. Where progress is different than expected, the service responds by initiating changes to the PCCP. Short-term care plans were reviewed as clinically indicated and examples of short term care plans being implemented were for infections, pressure injury and wound care management. According to the degree of risk noted during the assessment process, these plans are evaluated daily, weekly or fortnightly.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There are two resident doctors but residents may choose to use another medical practitioner. The GP interviewed discussed the referral process and as required sends a referral to seek specialist input as required for a resident. Copies of referrals were reviewed in resident’s records, including referrals to inpatient services at the DHB, renal specialists, radiology, outpatient clinics and other services. The GP commented that the response to referrals at the DHB is positive and the DHB responses are received in a timely manner. Referrals are followed up as required and any appointments are noted in the communication books in each service area. The resident and family are kept well informed of the referral process. Any acute/urgent referrals are attended to immediately, such as sending a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During a tour of the facility, protective clothing and equipment was observed in all high-risk areas. Chemicals are stored in a designated shed with chemical hazard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 although there has been refurbishment of the facility as part of the Oceania’s facilities upgrade programme, including an upgrade to the kitchen and one of the garden courtyards.</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there are areas that provide privacy when required. There are three internal courtyards and lawns, areas with shade and outdoor table and chairs. The external areas are maintained and appropriate to the resident group and setting. The environment is conducive to the range of activities undertaken in the areas. Residents are protected from risks associated with being outside. Residents confirm they are able to move freely in and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secure unit for residents with dementia has one entrance with key pad access internally and one exit into a secure courtyard.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an en suite bathroom. Toilets and showers are of an appropriate design.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Equipment was sighted in rooms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 There are designated areas to store mobility aids, hoists and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can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ample space for residents. Residents can choose to have their meals in their room. The dementia unit has its own dining room and lounge area, with residents in the dementia unit encouraged to join in some activities held in the main hospital/rest home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documented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Linen service is conducted at another Oceania facility. There are processes in place for collection, transportation and delivery of linen and residents’ personal clothing. The effectiveness of the cleaning and laundry services is audited via the internal audit programme. The cleaner was able to articulate the cleaning processes in line with policy during interview.</w:t>
            </w:r>
          </w:p>
          <w:p w:rsidR="00EB7645" w:rsidRPr="00BE00C7" w:rsidP="00BE00C7">
            <w:pPr>
              <w:pStyle w:val="OutcomeDescription"/>
              <w:spacing w:before="120" w:after="120"/>
              <w:rPr>
                <w:rFonts w:cs="Arial"/>
                <w:b w:val="0"/>
                <w:lang w:eastAsia="en-NZ"/>
              </w:rPr>
            </w:pPr>
            <w:r w:rsidRPr="00BE00C7">
              <w:rPr>
                <w:rFonts w:cs="Arial"/>
                <w:b w:val="0"/>
                <w:lang w:eastAsia="en-NZ"/>
              </w:rPr>
              <w:t>There are safe and secure storage areas, and staff have appropriate and adequate access to these areas as required. Chemicals are labelled and stored safely within these areas. 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service. The business and care manager stated there are areas requiring improvement around the laundry service and corrective actions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approving the fire evacuation scheme dated 2013 was sighted. Trial evacuations are held six monthly. Emergency and security management education is provided at orientation and as part of the in-service education programme. Information in relation to emergency and security situations is readily available/displayed for staff and residents. The emergency equipment is accessible, stored correctly, current and stocked to a level appropriate to the service setting.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family and staff members to summon assistance, when required. Call bells are available in all resident areas. Call bells are monitored by the maintenance staff monthly.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confirmed the facility is maintained at an appropriate temperature. Residents are provided with adequate natural light, safe ventilation, and an environment that is maintained at a safe and comfortable temperature. There are safe designated smoking areas for the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programme. The organisation has a comprehensive and current infection prevention and control manual which was reviewed in March 2017 and is available to guide staff.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nurse, whose role and responsibilities are defined in a job description. All infection control matters, including surveillance results, are reported monthly to the clinical manager and tabled at the quality and staff meetings. The infection prevention and control committee includes the infection control nurse and representatives from all service areas.</w:t>
            </w:r>
          </w:p>
          <w:p w:rsidR="00EB7645" w:rsidRPr="00BE00C7" w:rsidP="00BE00C7">
            <w:pPr>
              <w:pStyle w:val="OutcomeDescription"/>
              <w:spacing w:before="120" w:after="120"/>
              <w:rPr>
                <w:rFonts w:cs="Arial"/>
                <w:b w:val="0"/>
                <w:lang w:eastAsia="en-NZ"/>
              </w:rPr>
            </w:pPr>
            <w:r w:rsidRPr="00BE00C7">
              <w:rPr>
                <w:rFonts w:cs="Arial"/>
                <w:b w:val="0"/>
                <w:lang w:eastAsia="en-NZ"/>
              </w:rPr>
              <w:t>IPC signage is used at the main entrance to the facility as required especially in the winter months or if there is an infection outbreak at the facility. The infection control manual provides guidance for staff about how long they must stay away from work if they are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appropriate skills, knowledge and qualifications for the role, and been in this role for one year. The infection control nurse has attended relevant study days and has completed the Ministry of Health online infection prevention and control training and the certificate was sighted. Well established local networks with the infection control team at the DHB are available as well as expert advice from the local laboratory and GP if required. The infection control nurse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confirmed the availability of resources to support the programme and manage any outbreak of an infection. There have been no infection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March 2017 and include appropriate referencing. Staff were observed following organisational policies such as use of appropriate hand sanitizers, good hand-washing techniques and use of disposable personal protective equipment such as gloves, aprons and hats appropriate for the setting. Hand washing and sanitizer dispensers are readily available around the facility in all areas of service provision.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orientation/induction and ongoing education sessions. Education is provided by suitably qualified registered nurses, and the infection control nurse. The infection control nurse reported that one of the infection control nurse specialists from the DHB provides education on a regular basis for staff and oversees this facility as part of the community service provided by the DHB. Content of the training is documented and attendance records are maintained. The training is evaluated to ensure it is relevant, current and understood.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one-on-one basis and has included reminders mostly about hand washing or advice about staying in their own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minimisation management in the facility. The restraint coordinator attended training as evidenced by certificates in the restraint manual. The clinical manager, a senior registered nurse and the quality care manager for the service were interviewed and demonstrated a sound understanding of the organisation’s policies, procedures and practice,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four residents were using restraints and four were using enablers which were the least restrictive and used voluntarily at their request. A similar process for the use of restraints is used for enablers.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restraint records of those residents who have approved restraints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restraint coordinator, another registered nurse, the GP and the clinical manager, are responsible for the approval of the use of restraints and the restraint processes as defined in policy. The Oceania Restraint Minimisation and Safe Practice Handbook and policies. It was evident from review of restraint approval minutes, review of residents’ records and interview with staff, that there are clear lines of accountability, all restraints have been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family/enduring power of attorney or representatives involved in the decision making, as is required by the organisation’s policies and procedures, was on file in each case. Use of a restraint or an enabler is included in the care planning process and documented in the PCCPs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in the requirements of the standard. The initial assessment is undertaken by the registered nurse with the restraint coordinator’s involvement, and input from the resident’s family/whānau/enduring power of attorney. The staff interviewed described the documented process. Families interviewed confirmed their involvement. The general practitioner has involvement in the final decision on the safety of the use of the restraint. The assessment process identified the underlying aetiology, history of restraint use, cultural considerations, alternatives and associated risks. A new form was introduced March 2017 for enabler assessments called the ‘enabler assessment authorisation and plan’. The desired outcome was to ensure the residents’ safety and security. Completed assessments were sighted in the records of residents who were using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The staff interviewed explained how the resident can be safely supported and other suitable alternatives can be introduced such as use of low beds and sensor mats. These options are explored before the use of a restraint is implemented. When restraints are in use, frequent monitoring occurs to ensure the resident remains safe. Records reviewed contained the necessary details, access to advocacy is provided if requested and all processes ensure respect, dignity and privacy is maintained. This is included in the PCCP under restraint/enabler use. Monitoring forms reviewed recorded that this has occurred.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two months and reviewed at each restraint approval group meeting. The register was reviewed and contained all residents currently using a restraint/enabler and sufficient information is recorded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All staff have undertaken training as part of the orientation/induction process. Healthcare assistants have all received training at the organisations ‘grow, educate and motivate’ (GEM) study days provided annually. Registered nurses received training at the study days for enrolled and registered nurses. The dates were evidenced on the training calendar and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individual use of restraints is reviewed and evaluated during the six monthly PCCP and interRAI reviews, six monthly restraint evaluations and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restraint use, the impact and outcomes achieved, if the policy and procedure was followed and if documentation was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 monthly review of all restraint use which includes all requirements of the standard. Six monthly restraint meetings and reports are completed and individual use of restraint use is reported to the quality and staff meetings. The clinical manager reports monthly key performance indicators to the business and care manager who reports onto the organisation’s support office. Minutes of meetings include analysis and evaluation of the amount and type of restraint use in the facility, whether alternatives to restraint have been considered, the effectiveness of the restraint use, the competency of staff, the appropriateness of restraint/enabler education and feedback from the doctors, staff and families. A six-monthly internal audit is carried out also informs these meetings. Any changes to policies, guidelines, education and processes are implemented if indicated. Data reviewed, minutes and interviews with the clinical manger, registered nurses and the clinical and quality manager, confirmed the use of restraint has been greatly reduced and maintained.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Addington Lifestyle Care</w:t>
    </w:r>
    <w:bookmarkEnd w:id="58"/>
    <w:r>
      <w:rPr>
        <w:rFonts w:cs="Arial"/>
        <w:sz w:val="16"/>
        <w:szCs w:val="20"/>
      </w:rPr>
      <w:tab/>
      <w:t xml:space="preserve">Date of Audit: </w:t>
    </w:r>
    <w:bookmarkStart w:id="59" w:name="AuditStartDate1"/>
    <w:r>
      <w:rPr>
        <w:rFonts w:cs="Arial"/>
        <w:sz w:val="16"/>
        <w:szCs w:val="20"/>
      </w:rPr>
      <w:t>11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