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Calvary Hospital Southland Limited - Calvary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Calvary Hospital Southland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Calvary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2017</w:t>
      </w:r>
      <w:bookmarkEnd w:id="7"/>
      <w:r w:rsidRPr="009418D4">
        <w:rPr>
          <w:rFonts w:cs="Arial"/>
        </w:rPr>
        <w:tab/>
        <w:t xml:space="preserve">End date: </w:t>
      </w:r>
      <w:bookmarkStart w:id="8" w:name="AuditEndDate"/>
      <w:r w:rsidR="00A4268A">
        <w:rPr>
          <w:rFonts w:cs="Arial"/>
        </w:rPr>
        <w:t>10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Calvary Hospital Southland provides hospital and rest home care for up to 80 residents. The service is operated by a trust board and managed by the manager, a registered nurse.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This audit has resulted in three areas requiring improvement relating to medications management and food storage.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Posters detailing the code were displayed in both English and Māori  and leaflets were available. Services are provided that support personal privacy, independence, individuality and dignity. Staff were observed to interact with residents in a respectful manner and this was confirmed upon interviews with residents and family members.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provided by the DHB.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and this was confirmed during interview with a Māori  resident.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 including mental health, physiotherapy, podiatry and dietitians.</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board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registered nurses, the dietitian and general practitioner, assess residents’ needs on admission.  Care plans are individualised, based on a comprehensive range of information gathered during the interRAI assessment process, and accommodate any new problems that might arise.  Files reviewed demonstrated that the care provided and needs of residents were reviewed and evaluated on a regular and timely basis. Residents were referred or transferred to other health services as required. </w:t>
      </w:r>
    </w:p>
    <w:p w:rsidRPr="00A4268A" w:rsidP="00621629">
      <w:pPr>
        <w:spacing w:before="240" w:line="276" w:lineRule="auto"/>
        <w:rPr>
          <w:rFonts w:eastAsia="Calibri"/>
        </w:rPr>
      </w:pPr>
      <w:r w:rsidRPr="00A4268A">
        <w:rPr>
          <w:rFonts w:eastAsia="Calibri"/>
        </w:rPr>
        <w:t>Medications are safely and appropriately prescribed, stored, reconciled and disposed of according to legislation, protocols and guidelines.</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Residents and family members interviewed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was a current building warrant of fitness for the building.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and family members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restraints in use at the time of audit. Twelve bedrails as enablers were being used. All documentation was in place for enabler use. Staff demonstrated a sound knowledge and understanding of the difference between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and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and verbalised good knowledge of infection prevention strategies upon interview. Infection control practice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4"/>
        <w:gridCol w:w="1280"/>
        <w:gridCol w:w="90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Calvary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This was also confirmed during interviews with residents and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With regard to advance care planning, some files did not have a doctor’s signature to verify that the resident was able to make an informed choice as to their wishes. This was rectified in all files on the day of audit. The establishment and documenting of processes for residents unable to consent is defined and documented, as relevant, in the resident’s record.  Enduring power of attorney requirements and related documentation are held in individual resident records and a separate administrative file located in the administration department.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and family members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a Christian philosophy of love, compassion and caring.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families on admission and those interviewed knew how to make a complaint if required.  One family member interviewed has used the process and confirms the responsiveness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have been received in 2017 and that actions taken, through to an agreed resolution, were documented and completed within the required timeframes.  Action plans showed any required follow-up and improvements have been made where possible. The manager is responsible for complaints management and follow-up. All staff interviewed confirmed a sound understanding of the complaint process and what actions are required. The one recent complaint is still in the process of completion, all timeframes have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to residents and family members once admitted to the facility. Information regarding the Code and Advocacy Service was not however being provided in the information package given to potential new residents. This was discussed and appropriate literature now forms part of the initial information provided to all potential residents. The Code is displayed in areas in the form of posters in both English and Māori  and there is information available on how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during interview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the organised activities programme delivered seven days a week. The activities programme focusses on five components of activities which were detailed as individual, emotional, social, physical and intellectual. Activities also include visits to local groups and the RSA.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Staff receive education on abuse and neglect and residents confirmed that they feel respected and well treated.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Calvary Hospital has two residents who identify themselves as Māori. The principles of the Treaty of Waitangi are incorporated into day to day practice, as is the importance of whānau.  There is a current Māori health plan.  The Māori resident interviewed reported that staff acknowledge and respect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all care plans that were reviewed. All residents interviewed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The organisation operates under a Christian philosophy which was demonstrated to be incorporated in everyday care delivery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and input from external specialist services and allied health professionals such as mental health services for older persons.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frequent handwashing and hand sanitisation, respectful interactions between staff and residents/family and the appropriate use of personal protective equipment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most family members stated they were kept well informed about any changes to their/their relative’s status, were advised in a timely manner about any incidents or accidents and outcomes of regular and any urgent medical reviews. This was supported in residents’ records reviewed. One family member who specifically asked to speak to the auditors reported that she was unhappy with some communication between herself, the facility and the manager, stating that she had not been informed of untoward events such as when her relative had developed a urinary tract infection (UTI). Other family interviewed stated that they were kept informed of any untoward events and were happy with the level of communication maintained by the facility. Staff interviewed understood the principles of open disclosure, which was supported by policies.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local district health board, although reported this was rarely required due to all residents being able to speak English. This being the case, staff were still able to provide interpretation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Compassion and the Catholic philosophy are included in all strategic documents. The documents describe annual and longer term objectives and the associated operational plans. A sample of monthly manager’s reports showed adequate information to monitor performance is reported to the Board including staffing issues, occupancy rates, identified risks and issues, trends and analyses of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overseen by a manager, a registered nurse, who holds relevant qualifications and has been in the role for over eight years. She is supported by a clinical co-ordinator, also in the role for eight plus years. Responsibilities and accountabilities are defined in job descriptions and individual employment agreement.  The manager and clinical co-ordinator confirm knowledge of the sector, regulatory and reporting requirements and maintain currency through attendance at annual conferences and management related education forums.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and hospital care, respite, chronic conditions and palliative care.  Seventy-two residents were receiving services under the contracts at the time of audit, including one respite resident. There were twenty nine residents receiving rest home care and forty three residents receiving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clinical co-ordinator carries out all the required duties under delegated authority. During absences of the clinical co-ordinator, the clinical management is overseen by the manager with support from the senior registered nurses (RN) at the facility who are experienced and able to take responsibility for any clinical issues that may arise. This arrangement has worked well for many years.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planned quality and risk system that reflects the principles of continuous quality improvement. This includes management of incidents and complaints, audit activities, a regular resident satisfaction survey, monitoring of outcomes, and clinical incidents including infections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and staff meetings. Staff reported their involvement in quality and risk management activities through education and audit activities. Relevant corrective actions are developed and implemented to address any shortfalls. There are resident/family satisfaction surveys that are completed annually. The most recent survey showed a high satisfaction in the food service, including the breakfast buffet style implemented. One area identified by residents was related to talking in chapel – this has been addressed with notices, education and has since shown a considerable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She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the management,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co-ordinator both described essential notification reporting requirements, including for pressure injuries. They advised there have been two notifications of significant events made to the Ministry of Health or DHB since the previous audit. This relates to a current pressure injury and a norovirus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where required. A sample of staff records reviewed confirmed the organisation’s policies are being consistently implemented and records are maintained. A sample of general practitioner, pharmacist, podiatrist and physiotherapist practising certificates confirmed these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induction/orientation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education facilitator is the internal assessor for the programme.  Staff have either completed or are enrolled in the required education for services providing rest home and hospital level care. There are sufficient trained and competent registered nurses who are maintaining their annual competency requirements to undertake interRAI assessments. Annual syringe driver competencies have not been completed (refer to criterion 1.3.12.3).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staffing policy is in place to alter staffing according to the skill mix and residents’ needs.  Rosters are the responsibility of the manager with input from the clinical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adjusts staffing levels to meet the changing needs of residents.  An after-hours on call roster is in place, with staff reporting that good access to advice is available when needed. Care staff reported there are adequate staff available to complete the work allocated to them. They reported that this facility has a high staff to resident ratio, and absences are routinely covered. Family members interviewed supported this.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included interRAI assessment information.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in two places. The most recently archived being held near reception and longer term archiving being held in a secured basement. All notes and documents are readily retrievable using a cataloguing system by year of archiving.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in the form of an information package folder detailing cost, menus, activities, information about the history of the facility, service information and frequently asked questions. The organisation seeks updated information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and interRAI assessments in accordance with contractual requirements. Signed admission agreements were held in a separate administration folder.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which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sighted via the MediMap system in addition to allergies and sensitivities to any medications.  Standing orders are not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self-administers medications at the time of audit (Insulin). Appropriate processes are in place to ensure this is managed in a safe manner including medication competency assessments of the resident every three months which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audit, evidence of poor practice and noncompliance with safe and appropriate administration of medications was witnessed. The administration practices not complying with policy/procedure and safe practice guidelines. It was also found that competencies to ensure safe and administration of medicines via syringe drivers had not been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internal chef/cook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The service operates with an approved food safety plan and a food control plan individualised to the facility.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 dietary profiles are kept in the kitchen and any changes are notified to the chef in a timely manner.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and satisfaction surveys.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it was found that food had been decanted into separate containers without correct labelling and that food items, intended for resident consumption had passed their use by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as a means to identify any deficits and to inform care planning. The sample of care plans reviewed had an integrated range of resident-related information.  All residents have current interRAI assessments completed by one of five registered nurse or the one enrolled nurse trained interRAI assessors on site. Residents and families confirmed their involvement in the assessment process and this was evidenced on review of assessment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delivered to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activity coordinators working a seven day week roster for activities.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more frequently re-evaluated if the interventions are viewed as not being effective in addition to being reviewed as part of the formal six monthly care plan review.  The activity coordinators review and sign the care plans and reviews in conjunction with the registered nurses. Activity coordinators undertake regular education and briefings on best practice including participation in the monthly diversional therapy group and the Southland training day next due to be held in July 2017.</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appropriate and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regular GP from a nearby practice, residents may choose to use another medical practitioner. If the need for other non-urgent services are indicated or requested, the GP or RN sends a referral to seek specialist input.  Copies of referrals were sighted in residents’ files, including to podiatry, dietitians and public hospital health specialists. The resident and the family/whānau are kept informed of the referral process, as verified by documentation and interviews. Any acute/urgent referrals are attended to immediately, such as sending the resident to accident and emergency in an ambulance if the circumstances dictate. This was verified during interview with family members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04 February 2018)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were in place to ensure the residents’ physical environment and facilities were fit for their purpose and maintained.  The testing and tagging of electrical equipment and calibration of bio-medical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are appropriate to the resident groups and setting.  There are easily accessed outdoor areas that encourage purposeful walking.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any requests were appropriately actioned. Families interviewed state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separate facilities for staff and visitors. Appropriately secured and approved handrails are provided in the toilet/shower areas, and other equipment/accessories are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spacious enough to allow care to be provided and for the safe use and manoeuvring of mobility aids.  Transfer of residents can occur and equipment can be transferred between rooms.  Mobility aids can be managed in communal rooms.</w:t>
            </w:r>
          </w:p>
          <w:p w:rsidR="00EB7645" w:rsidRPr="00BE00C7" w:rsidP="00BE00C7">
            <w:pPr>
              <w:pStyle w:val="OutcomeDescription"/>
              <w:spacing w:before="120" w:after="120"/>
              <w:rPr>
                <w:rFonts w:cs="Arial"/>
                <w:b w:val="0"/>
                <w:lang w:eastAsia="en-NZ"/>
              </w:rPr>
            </w:pPr>
            <w:r w:rsidRPr="00BE00C7">
              <w:rPr>
                <w:rFonts w:cs="Arial"/>
                <w:b w:val="0"/>
                <w:lang w:eastAsia="en-NZ"/>
              </w:rPr>
              <w:t>Rooms were observed to be personalised with furnishings, photos and other items and the service encourages residents to bring in personal items.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room to store mobility aids such as walking frames safely.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double rooms in the facility being shared by two residents. The other five double rooms occupy one resident, and the manager reports this is likely to remain as one resident in these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Residents and families interviewed verified that the facility has sufficient space and residents may stay in their own areas or use any of the communal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in a spacious laundry.  A survey of residents confirmed satisfaction with cleaning and laundry services.  The service has secure cupboards for the storage of cleaning chemicals.  All chemicals sighted were labelled.  Material safety datasheets are displayed.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24 September 2014.  A trial evacuation takes place six-monthly with a copy sent to the New Zealand Fire Service, the most recent being on 23 February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residents and staff. Water storage tanks are located around the complex, and there is a generator available if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families reported staff respond promptly to call bells. There is at least one staff member on duty at all times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provided with adequate natural light, ventilation, and an environment that is maintained at a safe and comfortable temperature. Temperatures are routinely monitored. Areas were warm and well ventilated throughout the audit and residents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the experienced infection control coordinator / registered nurse and, where appropriate the local DHB. The infection control programme and manual are reviewed annually.  The policy is currently undertaking a review to reflect a new collation method of infection statistics.</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matters, including surveillance results, are reported monthly to the manager and clinical coordinator and copies posted in the staff room. They are also tabled at the infection control and staff meetings.  These reports consist of a monthly collation and analysis of infection rates, number of infections, type of infections, antibiotic usage, comparisons by month, feedback to staff and infection control education information. The monthly statistics are broken down into percentages per 1000 bed days. Reports in graph form are also submitted to the Board, detailing facility acquired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responsibilities and confirmed that a period of 48 hours symptom free must be observed before considering returning to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educated in infection control and previously holding a position of DHB infection control coordinator, is the designated IPC coordinator, whose role and responsibilities are defined in a job description. The IPC coordinator has appropriate skills, knowledge and qualifications for the role. Previously she was the DHB IC coordinator for 12 years. She maintains her own knowledge of best practice and educational requirements by attending the yearly national conference and attends the one day infection prevention and control conference at the local DHB where she has also been a speaker.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are reviewed yearly and are currently being reviewed to reflect a new collation method of statistics. All policies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including the use of an infection prevention and control handbook devised by the facility.  Education is provided by suitably qualified registered nurse who is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following a Norovirus outbreak in April 2016.  </w:t>
            </w:r>
          </w:p>
          <w:p w:rsidR="00EB7645" w:rsidRPr="00BE00C7" w:rsidP="00BE00C7">
            <w:pPr>
              <w:pStyle w:val="OutcomeDescription"/>
              <w:spacing w:before="120" w:after="120"/>
              <w:rPr>
                <w:rFonts w:cs="Arial"/>
                <w:b w:val="0"/>
                <w:lang w:eastAsia="en-NZ"/>
              </w:rPr>
            </w:pPr>
            <w:r w:rsidRPr="00BE00C7">
              <w:rPr>
                <w:rFonts w:cs="Arial"/>
                <w:b w:val="0"/>
                <w:lang w:eastAsia="en-NZ"/>
              </w:rPr>
              <w:t>Comprehensive education on outbreak management (records sighted) was conducted in September and November 2016, including isolation and the correct use of PPE. Hand hygiene education forms part of the orientation process for new staff and the facility has developed an infection control booklet devised for both clinical and non-clinical staff which is completed on a yearly basis. This booklet identifies the manager, infection control coordinator, the location of the IC manual, instructions on effective hand hygiene and standard precautions.</w:t>
            </w:r>
          </w:p>
          <w:p w:rsidR="00EB7645" w:rsidRPr="00BE00C7" w:rsidP="00BE00C7">
            <w:pPr>
              <w:pStyle w:val="OutcomeDescription"/>
              <w:spacing w:before="120" w:after="120"/>
              <w:rPr>
                <w:rFonts w:cs="Arial"/>
                <w:b w:val="0"/>
                <w:lang w:eastAsia="en-NZ"/>
              </w:rPr>
            </w:pPr>
            <w:r w:rsidRPr="00BE00C7">
              <w:rPr>
                <w:rFonts w:cs="Arial"/>
                <w:b w:val="0"/>
                <w:lang w:eastAsia="en-NZ"/>
              </w:rPr>
              <w:t>The housekeeping staff have received education on effective cleaning for the prevention of and management of infections during an outbreak, including outbreak management plans. The IC coordinator has also developed isolation management trolleys designed to reduce the risk of spreading infections. These trolleys contain education and information materials, PPE and antibacterial hand hygiene products. The housekeeping staff are currently trialling the use of microfiber cloths as an infection prevention tool.</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alerting staff if experiencing symptoms.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Reports are sent to the manager, clinical coordinator, posted in staff rooms and graph analysis sent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manager, clinical coordinator and IPC committee.  </w:t>
            </w:r>
          </w:p>
          <w:p w:rsidR="00EB7645" w:rsidRPr="00BE00C7" w:rsidP="00BE00C7">
            <w:pPr>
              <w:pStyle w:val="OutcomeDescription"/>
              <w:spacing w:before="120" w:after="120"/>
              <w:rPr>
                <w:rFonts w:cs="Arial"/>
                <w:b w:val="0"/>
                <w:lang w:eastAsia="en-NZ"/>
              </w:rPr>
            </w:pPr>
            <w:r w:rsidRPr="00BE00C7">
              <w:rPr>
                <w:rFonts w:cs="Arial"/>
                <w:b w:val="0"/>
                <w:lang w:eastAsia="en-NZ"/>
              </w:rPr>
              <w:t>Previous case logs of infections were available and there have been no outbreaks since April 2016 following which the IC coordinator discussed actions to be taken in staff forums and with management, including the outbreak management plan contained in the IC manual. Learnings from the event have now been incorporated into practice, with additional staff education implemented, including education sessions for non-clinical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clinical co-ordinator and provides support and oversight for enabler and restraint management in the facility. This person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twelve residents were using enablers. The enablers in use were bed rails for safety while in bed. Two files reviewed showed documentation in place was current and reflected the organisation’s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not used any restraint in the past three years.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7"/>
        <w:gridCol w:w="1280"/>
        <w:gridCol w:w="6324"/>
        <w:gridCol w:w="1977"/>
        <w:gridCol w:w="17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audit, two registered nurses were seen to have removed individual residents / patients blister pack doses and placed these blister packs in a separate receptacle. This was observed initially at the end of one medication round and, to ascertain if this was common practice and a systematic failure to adhere to best practice guidelines, auditors attended the clinical room prior to a second medication round commencing. Both registered nurses confirmed that these removed blister packs were intended for, or had been used for resident administration. This practice is not reflective of policy/procedure and increases the risk of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second registered nurse interviewed also intended to use two blister medications (Warfarin) prescribed for one resident to give to another resident. The original resident’s name on the two blisters having being crossed out and the second resident’s name (a shortened version and not the resident’s full name) handwritten on the back of the blister. The registered nurse interviewed also intended to administer this Warfarin dose without being in receipt of a current INR. The RN has been stood down from medication administration until further medication competency is undertaken.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administering medication are not complying with policy/procedure or best practice guidelines and this is increasing the risk of a medication error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aspects of medication management, including adherence to administration policy/procedure, meets current legislation and best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RN training records and competencies were reviewed. Syringe driver training is provided to registered nurses on an annual basis as part of the RN training programme.  Drug calculations and medication competencies are completed by all registered nurse files reviewed annually. One resident was receiving medications via a syringe driver at the time of the audit. The registered nurses administering medication via a syringe driver did not have a current syringe driver competency. Syringe drivers have not been a routine competency for at least the past two years. There have been no syringe driver errors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at the facility administer medication via syringe drivers, but do not have a current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aspects of medication management, including documented syringe driver competencies, meets current legislation and best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it was found that dried food had been decanted and labels were not present on all containers to indicate the product within, the decant date of the expiry date. Dried food in the original packaging was found to be present on shelves that had passed the stated best before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Dried food is being decanted into clear containers without the expiry date, decant date or product being documented.  Food items stored are not being sufficiently checked for expiry or best before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aspects of food safety management, including storage and disposal, meets current legislation and best practice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Calvary Hospital Southland Limited - Calvary Hospital</w:t>
    </w:r>
    <w:bookmarkEnd w:id="58"/>
    <w:r>
      <w:rPr>
        <w:rFonts w:cs="Arial"/>
        <w:sz w:val="16"/>
        <w:szCs w:val="20"/>
      </w:rPr>
      <w:tab/>
      <w:t xml:space="preserve">Date of Audit: </w:t>
    </w:r>
    <w:bookmarkStart w:id="59" w:name="AuditStartDate1"/>
    <w:r>
      <w:rPr>
        <w:rFonts w:cs="Arial"/>
        <w:sz w:val="16"/>
        <w:szCs w:val="20"/>
      </w:rPr>
      <w:t>9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