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Te Puke Country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Puke Country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July 2017</w:t>
      </w:r>
      <w:bookmarkEnd w:id="7"/>
      <w:r w:rsidRPr="009418D4">
        <w:rPr>
          <w:rFonts w:cs="Arial"/>
        </w:rPr>
        <w:tab/>
        <w:t xml:space="preserve">End date: </w:t>
      </w:r>
      <w:bookmarkStart w:id="8" w:name="AuditEndDate"/>
      <w:r w:rsidR="00A4268A">
        <w:rPr>
          <w:rFonts w:cs="Arial"/>
        </w:rPr>
        <w:t>18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Five hospital rooms have been verified at this audit as suitable to be used as dual-purpose.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Te Puke Country Lodge is part of the Bupa group. The service is certified to provide rest home and hospital level care for up to 81 residents.  Occupancy on the day of audit was 72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care home manager is a social worker who has been in this role since April 2015. The manager is supported by an assistant manager, a clinical manager and a unit coordinator/RN and a Bupa regional manager.</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including residents that require hospital/medical, and rest home level care. Implementation is supported through the Bupa quality and risk management programme that is individualised to Te Puke.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 service is commended for achieving continual improvement ratings relating to good practice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supported by an administration manager, clinical manager; registered nurses, caregivers and support staff.  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Health and safety policies, systems and processes are implemented to manage risk.  Incidents and accidents are reported and investigated.  A comprehensive education and training programme is implemented with a current plan in place.  Appropriate employment processes are adhered to. There is a roster that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There is sufficient information gained through the initial care plans, specific assessments, and the care plans to guide staff in the safe delivery of care to residents.  The care plans are resident and goal orientated and reviewed every six months or earlier if required, with input from the resident/family as appropriate.  Files sampled identified that the integration of allied health and a team approach is evident in the overall resident file.  There is a three-monthly general practitioner review.  The activities team implements the activity programme to meet the individual needs, preferences and abilities of the residents.  Community links are maintained.  There are regular entertainers, outings and celebrations.  Medications are managed appropriately in line with accepted guidelines.  Registered nurses and senior caregivers who administer medications have an annual competency assessment and receive annual education.  Medication charts are reviewed three-monthly by the general practitioner.  Residents' food preferences and dietary requirements are identified on admission and all meals are cooked on-site.  This includes consideration of any particular dietary preferences or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ensuites and are personalised.  External areas are safe and well maintained.  The facility has a van available for transportation of residents.  Those transporting residents hold a current first aid certificate.  There are spacious lounges in the rest home and hospital areas and a large recreation room.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emergency management plan in place and adequate civil defence supplies in the event of an emergency. There is an approved evacuation scheme and emergency supplies for at least three days.  A staff trained in CPR and first aid is on duty at all times.  The facility has ceiling heating in the communal areas and electric panel heaters in the bedrooms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three residents using restraint and no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Bupa quality and risk team supports the infection control coordinator.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8"/>
        <w:gridCol w:w="1280"/>
        <w:gridCol w:w="95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policy and procedure is implemented.  Discussions with the care home manager, clinical manager/RN, administrative manager and twelve staff (four caregivers who cover the rest home and hospital, three registered nurses (RNs), two activities coordinators, one cleaner, one cook, one maintenance person) confirmed their familiarity with the Code.  Interviews with twelve residents (six rest home and six hospital) and six relatives (hospital) confirmed that the services being provided are in line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Completed resuscitation treatment plan forms were evident in all 11 resident files reviewed.    General consent forms were evident in the nine files reviewed.  Discussions with staff confirmed that they are familiar with the requirements to obtain informed consent for personal care, entering rooms and so on.  Enduring power of attorney evidence is sought prior to admission, and activation documentation is obtained and both are filed with the admission agreements.  Where legal processes are ongoing to gain EPOA, this is recorded, as are letters of request to families for the supporting documentation.  Residents interviewed confirmed that consent was obtained before undertaking any care or treatment.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annual training on advocacy.  Information about accessing advocacy services is available in the information presented to residents and their families during entry to the service.  Advocacy support is available if requested.  Interviews with staff, residents and relatives confirmed that they were aware of advocacy services and how to access an advocate.  The complaints process reminds the complainant of their right to contact the health and disability advocacy service with contact details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Care staff interviewed confirmed that residents are encouraged to build and maintain relationships.  Visiting can occur at any time.  Community links were evident.  The rest home has an active bowls team that includes competitions with other facilities.  A selection of residents attend the Citizens Club to play cards.  Community links were also present via local churches, the RSA and residents going out on regular outings.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completed an initiative around raising their profile in the local community and increasing their occupancy which had never been much above 80% since the Care Home opened. They did this by involving the local paper and inviting them to write articles about resident activities in the home on almost a monthly basis. They also ran a fund raiser for St John’s Ambulance in April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Four complaints have been lodged in 2017 (year-to-date).  Verbal and written complaints are documented.  All four complaints had a noted investigation, timelines determined by HDC were met, and corrective actions (where indicated) were actioned.  All four complaints were documented as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in English and in Māori.  The service is able to provide information in different languages and/or in large print if requested.  On entry to the service the care home manager, assistant manager or clinical manager discuss the Code with the resident and the family/whānau.  An information pack is given to the resident, next of kin or 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requirements of the Privacy Act and Health Information Privacy Code.  During the audit, staff demonstrated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There is an abuse and neglect policy that is implemented and staff have undertaken annual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Māori cultural policies to help meet the cultural needs of its Māori residents.  Bupa has developed Māori Tikanga best practice guidelines, which are posted in visible locations.  The service has established links with local Māori advisors.  Staff training includes cultural safety with the most recent in-service undertaken on 31 May 2017.  A cultural assessment is completed during the Māori resident’s entry to the service.  There was one resident who identified as Māori but was unable to be interviewed.  Whānau were also not available. The care plan for this resident included the resident’s specific cultural and spiritual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  There were no residents at the facility where English was their second language.</w:t>
            </w:r>
          </w:p>
          <w:p w:rsidR="00EB7645" w:rsidRPr="00BE00C7" w:rsidP="00BE00C7">
            <w:pPr>
              <w:pStyle w:val="OutcomeDescription"/>
              <w:spacing w:before="120" w:after="120"/>
              <w:rPr>
                <w:rFonts w:cs="Arial"/>
                <w:b w:val="0"/>
                <w:lang w:eastAsia="en-NZ"/>
              </w:rPr>
            </w:pPr>
            <w:r w:rsidRPr="00BE00C7">
              <w:rPr>
                <w:rFonts w:cs="Arial"/>
                <w:b w:val="0"/>
                <w:lang w:eastAsia="en-NZ"/>
              </w:rPr>
              <w:t>Monthly cultural days have been introduced to celebrate a different country every month. There is a special lunch to reflect that country, and staff are encouraged to dress in a manner reflective of the culture of that day. When possible entertainment reflecting that culture is also provided on that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all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 service receives support from the district health board which includes visits from specialists (e.g., wound care, mental health) and staff education and training.  Physiotherapy services are provided four hours per week. There is a robust education and training programme for staff that includes in-service training, impromptu training (toolbox talks) and competency assessments.  Podiatry services and hairdressing services are provided.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the front of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incidents/accidents forms selected for review indicated that family were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Puke Country Lodge is part of the Bupa group of aged care facilities.  The care facility has a total of 81 beds suitable for rest home (38 beds) and hospital (43 beds) levels of care.  Hospital level of care is certified for medical.  During the audit there were 72 residents (38 rest home and 34 hospital).  One rest home level resident was receiving respite care, two residents (one rest home and one hospital) were on the young persons with a disability (YPD) contract and one resident (hospital level) was on a palliative care contract.  There are no dual-purpose beds.  Currently the service has five rest home residents in the hospital wing.  These five rooms have been verified at this audit as suitable to be used as dual-purpose.</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All staff are made aware of the vision and values during their induction to the service.  There is an overall Bupa business plan and risk management plan.  There are documented quality/health and safety goals that are reviewed monthly and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The Bupa H&amp;S Goal #1 for 2017 focuses on the effect of Moving and Handling and providing a safer environment for staff and visitors. Te Puke are making good progress with introduction of actions and monitoring/evaluating evidences this is at least part met.</w:t>
            </w:r>
          </w:p>
          <w:p w:rsidR="00EB7645" w:rsidRPr="00BE00C7" w:rsidP="00BE00C7">
            <w:pPr>
              <w:pStyle w:val="OutcomeDescription"/>
              <w:spacing w:before="120" w:after="120"/>
              <w:rPr>
                <w:rFonts w:cs="Arial"/>
                <w:b w:val="0"/>
                <w:lang w:eastAsia="en-NZ"/>
              </w:rPr>
            </w:pPr>
            <w:r w:rsidRPr="00BE00C7">
              <w:rPr>
                <w:rFonts w:cs="Arial"/>
                <w:b w:val="0"/>
                <w:lang w:eastAsia="en-NZ"/>
              </w:rPr>
              <w:t>H&amp;S Goal #2 is about raising staff awareness and knowledge about Health and Safety at Work Act. Te Puke is monitoring and making good progress. Staff have all completed a H&amp;S questionnaire and H&amp;S reps complete a weekly walk around to identify an hazards.</w:t>
            </w:r>
          </w:p>
          <w:p w:rsidR="00EB7645" w:rsidRPr="00BE00C7" w:rsidP="00BE00C7">
            <w:pPr>
              <w:pStyle w:val="OutcomeDescription"/>
              <w:spacing w:before="120" w:after="120"/>
              <w:rPr>
                <w:rFonts w:cs="Arial"/>
                <w:b w:val="0"/>
                <w:lang w:eastAsia="en-NZ"/>
              </w:rPr>
            </w:pPr>
            <w:r w:rsidRPr="00BE00C7">
              <w:rPr>
                <w:rFonts w:cs="Arial"/>
                <w:b w:val="0"/>
                <w:lang w:eastAsia="en-NZ"/>
              </w:rPr>
              <w:t>Te Puke Quality Goal #3 is about continuing to work towards reducing staff incidents as they failed to achieve this last year. They are making good progress as evidenced by the reduction of Incidents in 2017 so far.</w:t>
            </w:r>
          </w:p>
          <w:p w:rsidR="00EB7645" w:rsidRPr="00BE00C7" w:rsidP="00BE00C7">
            <w:pPr>
              <w:pStyle w:val="OutcomeDescription"/>
              <w:spacing w:before="120" w:after="120"/>
              <w:rPr>
                <w:rFonts w:cs="Arial"/>
                <w:b w:val="0"/>
                <w:lang w:eastAsia="en-NZ"/>
              </w:rPr>
            </w:pPr>
            <w:r w:rsidRPr="00BE00C7">
              <w:rPr>
                <w:rFonts w:cs="Arial"/>
                <w:b w:val="0"/>
                <w:lang w:eastAsia="en-NZ"/>
              </w:rPr>
              <w:t>Tw Puke Quality Goal #4 is about creating a versatile and private space in the Solarium with multitude of potential uses, to benefit residents, families and staff. This has been achieved.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 social worker who has been in this role since April 2015.  This is her first role as a care home manager in an aged care facility.  She is supported by an assistant manager, a clinical manager and a unit coordinator/RN and a Bupa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assistant manager and clinical manager/RN are in charge.  In the absence of the clinical manager, the unit coordinator/RN is in charge of clinical operations.  For extended absences, a Bupa relieving care home manager is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and staff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pressure injuries, complaints, challenging behaviours) are collated and analysed with results communicated to staff.  Corrective actions are implemented where benchmarked data exceeds targets.</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In addition to scheduled monthly internal audits, an annual facility health check is conducted by an external Bupa representative.  Areas of non-compliance include the initiation of a corrective action plan with sign-off by a manager when implemented.  Corrective actions from the last health check (10 April 2017) identified corrective actions that have been implemented and signed off.  Quality and risk data is shared with staff via meetings and posting results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 care home manager is the health and safety officer. Three health and safety representatives are elected by staff. The health and safety team meets once a month.  Staff undergo annual health and safety training which begins during their orientation. Contractors are required to be inducted into the facility and sign a health and safety information sheet when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encouraging participation in activities, physiotherapy input and intentional rounding.  Residents at risk of falling have a falls risk assessment completed with strategies implemented to reduce the number of falls.  Caregiver interviews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nursing staff, evidenced in all fifteen accident/incident forms reviewed.  Adverse events are trended and analysed with results communicated to staff.  There is evidence to support actions are undertaken to minimise the number of incidents.  Clinical follow-up of residents is conducted by a registered nurse.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confirmed her awareness of the requirement to notify relevant authorities in relation to essential notifications with examples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Ten staff files reviewed (five caregivers, five RNs) evidenced that reference checks are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orientation programme that provides new staff with relevant information for safe work practice. The education programme being implemented is extensive and includes in-service training, competency assessments, and impromptu (tool box) talks.  Caregivers are expected to complete an aged care education programme that meets the New Zealand Quality Authority (NZQSA) requirements.  There are 42 part time caregivers.  Fourteen have completed an aged care education programme, 10 are currently enrolled and completing, and six are foreign RNs.</w:t>
            </w:r>
          </w:p>
          <w:p w:rsidR="00EB7645" w:rsidRPr="00BE00C7" w:rsidP="00BE00C7">
            <w:pPr>
              <w:pStyle w:val="OutcomeDescription"/>
              <w:spacing w:before="120" w:after="120"/>
              <w:rPr>
                <w:rFonts w:cs="Arial"/>
                <w:b w:val="0"/>
                <w:lang w:eastAsia="en-NZ"/>
              </w:rPr>
            </w:pPr>
            <w:r w:rsidRPr="00BE00C7">
              <w:rPr>
                <w:rFonts w:cs="Arial"/>
                <w:b w:val="0"/>
                <w:lang w:eastAsia="en-NZ"/>
              </w:rPr>
              <w:t>The cook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RNs are in the process of completing their professional development recognition portfolio (PDRP).  All eight RNs have completed their interRAI training.  The care home manager, clinical manager and staff are able to attend external training including sessions provided by the district health board.  Each of the RN’s hold a ‘champion role’ e.g.: falls prevention,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Sufficient staff are rostered on to manage the care requirements of the residents.  The care home manager is a qualified social worker.  The facility covers two floors with three elevators in strategic locations.  There are five hospital wings totalling 43 beds across two levels and two rest home wings totalling 38 beds (one on each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unit coordinator are registered nurses with current practising certificates who work full time Monday – Friday.  The unit coordinator covers the rest home wings Monday – Friday.  The hospital wings are staffed with one staff RN on the am shift (seven days a week) and two staff RNs on the pm shift.  One staff RN covers the facility during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Adequate numbers of caregivers are rostered with additional caregiver support available when needed.  Extra staff can be called on for increased residents' requirements.</w:t>
            </w:r>
          </w:p>
          <w:p w:rsidR="00EB7645" w:rsidRPr="00BE00C7" w:rsidP="00BE00C7">
            <w:pPr>
              <w:pStyle w:val="OutcomeDescription"/>
              <w:spacing w:before="120" w:after="120"/>
              <w:rPr>
                <w:rFonts w:cs="Arial"/>
                <w:b w:val="0"/>
                <w:lang w:eastAsia="en-NZ"/>
              </w:rPr>
            </w:pPr>
            <w:r w:rsidRPr="00BE00C7">
              <w:rPr>
                <w:rFonts w:cs="Arial"/>
                <w:b w:val="0"/>
                <w:lang w:eastAsia="en-NZ"/>
              </w:rPr>
              <w:t>Two activities staff are scheduled five days a week.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caregiver or RN.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policy and resident information handbook outlines access, assessment and the entry screening processes.  The local community and needs assessment and coordination agencies are familiar with entry criteria and how to access the service.  The service operates 24 hours a day, 7 days a week.  Comprehensive information about the service is made available to referrers, potential residents and their families and sighted resident agreements contain all detail required under the Aged Residential Care Agreement.  Family members and residents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One file reviewed was of a resident that had been transferred to hospital acutely.  All appropriate documentation and communication was completed.  Transfer to the hospital and back to the facility post-discharge, was well documented in progress notes.  Reconciliation of medications was documented and the care plan was updated with changes to resident’s needs. A GP follow-up visit following discharge from hospital was documented as occurring on the day the resident returned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 service utilises two-weekly robotic packs.  There is a medication room in each of the two areas. The service uses an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securely and appropriately stored.  Registered nurses or senior caregivers, who have passed their competency, administer medications.  Medication competencies are updated annually and include syringe drivers, sub cut fluids, blood sugars and oxygen/nebulisers.  Medication charts have photo IDs.  There is a signed agreement with the pharmacy.  Medications are checked on arrival and any pharmacy errors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electronic medication charts and signing charts were reviewed.  All medication signing sheets aligned with the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folders include a list of specimen signatures and competencies.  Two self-medicating resident charts were reviewed and all included three-monthly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medication profiles reviewed were legible, up-to-date and reviewed at least three-monthly by the GP.  All medication charts reviewed have ‘as needed’ medications prescribed with an individualised indication for use.  The medication round observed was completed correctly as per Bupa policies and procedures.  The medication fridge in each area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Medication management audits are completed as part of the internal audit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cooks oversee food management and are assisted by a team of kitchen assistants.  The food, fluid, and nutritional needs of residents are provided in line with recognised nutritional guidelines and there is a national menu in place that has been audited and approved by an external dietitian.  The summer menu rotates over a four week cycle and the winter menu is a six weekly cycle.  There are policies in place to guide staff.  Food is procured from commercial suppliers.  The majority of food is cooked on-site in a large commercial kitchen. There is sufficient storage available.  Stock rotation is practised.  Hot food temperatures are monitored daily on all meals (records sighted).  Fridges and freezers have temperatures monitored daily. Chilled inward goods are temperature checked on delivery and prior to storage.  Daily air temperatures are recorded.  Commercial operators are contracted to manage kitchen waste disposal. </w:t>
            </w:r>
          </w:p>
          <w:p w:rsidR="00EB7645" w:rsidRPr="00BE00C7" w:rsidP="00BE00C7">
            <w:pPr>
              <w:pStyle w:val="OutcomeDescription"/>
              <w:spacing w:before="120" w:after="120"/>
              <w:rPr>
                <w:rFonts w:cs="Arial"/>
                <w:b w:val="0"/>
                <w:lang w:eastAsia="en-NZ"/>
              </w:rPr>
            </w:pPr>
            <w:r w:rsidRPr="00BE00C7">
              <w:rPr>
                <w:rFonts w:cs="Arial"/>
                <w:b w:val="0"/>
                <w:lang w:eastAsia="en-NZ"/>
              </w:rPr>
              <w:t>Resident likes and dislikes are known, recorded in the kitchen and alternatives are offered. The residents have a nutritional profile developed on admission, which identifies dietary requirements and likes and dislikes and is reviewed six-monthly, as part of the care plan review.  Special diets (i.e., soft and pureed diets) are noted on the kitchen noticeboard, which can be viewed only by kitchen staff.  Meals are served from bain maries to the residents in the dining rooms and can be delivered to rooms as required.  Specialist utensils and plates are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 annual satisfaction survey monitors food satisfaction.  The kitchen is included in the internal audit programme.  Staff have been trained in safe food handling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commented positively on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in place regarding the process for declining entry.  Consumers are declined entry when there are no beds available or, if the person has health needs that are not able to be provided by the facility.  If a potential admission was declined entry, the consumer and where appropriate their family/whānau of choice, is informed of the reason for the decline and provided with other options where they can access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admission assessment booklets and care plan templates were comprehensively completed for all the resident files reviewed.  InterRAI initial assessments and assessment summaries were evident in printed format in all files. The assessment booklet provides in-depth assessment across all domains of care and is an add-on to the interRAI assessment.  Files reviewed across the rest home and hospital identified that risk assessments have been completed on admission and reviewed six-monthly as part of the evaluation.  Additional assessments for management of behaviour, pain, wound care and restraint were appropriately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and input from allied health.  All care plans (including short and long term care plans) reviewed included interventions to address all of the resident needs.  Family members interviewed confirm care delivery and support by staff is consistent with their expectations.  One hospital resident had a specific ‘End of Life’ care plan in place.  Two rest home residents identified as high falls risk had a specific ‘keep me safe from falling care plan’.  Other specific care plans were implemented for specific health needs, including (but not limited to) dementia, medical needs, diabetes, and chronic wounds. Two YPD residents have clear instructions for management of specific needs including (but not limited to) mobility and communication. The contracted physiotherapist has completed transfer plans.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and signed off as resolved or transferred to the long-term care plan.  There was evidence of service integration with documented input from a range of specialist care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one GP evidenced that care provided is of a high standard and GPs are kept informed.  Family members interviewed stated care and support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 there is adequate equipment provided, including continence and wound care supplies.  Wound assessment, wound management and evaluation forms are in place.  Wound management and monitoring occurred as planned.  All have appropriate care documented and provided, including pressure relieving equipment.  Access to specialist advice and support is available as needed.  Care plans document allied health input.  There were two wound registers in the facility.  A sample of wounds reviewed in detail included a link to STCPs and LTCPs. There is wound care specialist input where needed.  Physiotherapy and dietitian input is provided for residents.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well utilised at Bupa Te Puke and examples sighted included (but not limited to) weight and vital signs, blood glucose, pain, food and fluid, turning charts, behaviour monitoring, syringe driver monitoring and restraint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who is currently completing a qualification in diversional therapy (i.e., level 4 NZQA). The activity coordinator has a valid driver’s licence and a current first aid certificate.  He is employed for 37.5 hours a week and is supported by an activity assistant who is employed for 37.5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exercise programme is based on the Otago University falls prevention programme.  The activity team have access to Bupa diversional therapy (DT) team at head office and attend the regional DT/activities regional study days with training and education including guest speakers.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programme, which is reviewed when their plan of care is reviewed and as part of their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The group activity programme is implemented Monday to Friday between the hours of 9am to 4pm in any of the spacious lounges and recreational areas.  The facility has a large library, recreation room and games room. There are ranges of activities offered.  There are separate rest home and hospital programmes with activities that meet the needs and preferences of the two resident groups, however many activities are integrated such as entertainment, as observed on the day of audit.  Variations to the group programme are made known to the residents.  Residents may choose to participate in any group programme.  Individual programmes are delivered to residents in their rooms when they are unable to or choose not to participate in the group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programme covers physical, cognitive, social and spiritual needs.  There are regular visiting entertainers and community groups.  Targeted group programmes are offered as appropriate to meet the needs of subsets of residents.  Church services are held and some residents attend church services in the community.  Rest home and hospital residents have the opportunity to go on outings using the service’s van or alternative transport arrangements.  A designated driver drives the van; a caregiver accompanies the activity person on outings.  </w:t>
            </w:r>
          </w:p>
          <w:p w:rsidR="00EB7645" w:rsidRPr="00BE00C7" w:rsidP="00BE00C7">
            <w:pPr>
              <w:pStyle w:val="OutcomeDescription"/>
              <w:spacing w:before="120" w:after="120"/>
              <w:rPr>
                <w:rFonts w:cs="Arial"/>
                <w:b w:val="0"/>
                <w:lang w:eastAsia="en-NZ"/>
              </w:rPr>
            </w:pPr>
            <w:r w:rsidRPr="00BE00C7">
              <w:rPr>
                <w:rFonts w:cs="Arial"/>
                <w:b w:val="0"/>
                <w:lang w:eastAsia="en-NZ"/>
              </w:rPr>
              <w:t>The needs of younger residents are evidenced to be met within the programme and also individual one-on-one activities and outings with the activity team. Residents have the opportunity to provide feedback on the activity programme through the bi-monthly resident meeting and resident satisfaction surveys.  Residents and relatives interviewed were satisfied with the activities programmes on offer.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or when changes to care occurred and document progress of achievement towards the desired goal or outcome.  Short-term care plans for short-term needs were evaluated and either resolved or added to the long-term care plan as an ongoing need. The six-monthly multidisciplinary review involves the RN, GP, activities staff, physiotherapist (if involved) and resident/family. The family are notified of the outcome of the review by phone call and if unable to attend, they receive a copy of the reviewed plans.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rest home unit coordinator identified that the service has access to a wide range of support either through the GP, Bupa specialists and contracted allied services. YPD residents are assisted to access community groups and health services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effective system of waste management in place.  Used linen is appropriately managed and all laundry is managed off-site at another nearby Bupa facility.  Chemicals are supplied by an external contractor and stored securely throughout the facility when not in use.  Appropriate policies are available along with chemical product safety charts.  Education on hazardous substances occurs at orientation and is included in in-service training.  There is appropriate signage throughout regarding chemical storage and hazards. There is personal protective equipment available for use by staff and this was in use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20 October 2018.</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lift between the ground floor and first floor level. There are hospital and rest home rooms located on the ground floor. The lift is large enough to allow residents to be transported by wheelchair or ambulance trolley.</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a full-time maintenance manager. There are proactive and reactive maintenance management plans in place.  The grounds and gardens are well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Contracted providers test equipment.  Electrical testing of non-hard wired equipment was last conducted on 9 June 2017.  Medical equipment requiring servicing and calibration was last conducted on 26 June 2017.  There are hazard management systems in place to ensure the physical environment minimises risk of harm, promotes safe mobility, aids independence and is appropriate to the needs of the residents and any visitors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bedroom upgrade programme in place.  As residents vacate rooms, the rooms are repainted, and flooring and curtains are replaced.  Residents have adequate internal space to meet their needs.  External areas are safe and well maintained.  The facility has a van available for transportation of residents.  Those transporting residents hold a current driver’s license and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ensuites.  There are adequate communal toilets available.  There is appropriate signage with easy clean flooring and fixtures.  Privacy locks indicate whether the toilet/shower is vacant or in use.  Residents interviewed report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bedrooms are spacious enough accommodate the residents own furnishings as desired, have a small kitchenette area with tea and coffee making facilities and are large enough to easily manoeuvre transferring and mobility equipment to safely deliver care.  Caregivers interviewed report that rooms have sufficient space to allow cares to take place.  The doors are wide enough for ambulance trolley access.  Residents are encouraged to personalise their bedrooms 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spacious lounges and dining rooms in the rest home and hospital area.  Smaller lounges are available for small group or individual activities or for visitors.  Tea and coffee making facilities are available. There is a large recreational room, games room and library. The raised indoor bowling platform has been moved into the large library area at the entrance to the facility.  All lounge/dining rooms are accessible and accommodate the equipment required for the residents.  Residents are able to move freely and furniture is well arranged to facilitate this.  The hospital dining room and lounges accommodate specialised lounge chairs and mobility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cleaners have access to the appropriate equipment and chemicals.  Cleaning equipment and cleaning chemicals are stored securely when not in use.  All laundry is completed on-site. There are two entry/exit doors (clean and dirty). The internal auditing system and the satisfaction surveys monitor cleaning and laundry services.  Cleaning and laundry staff receive training at orientation and through the in-service programme.  There are policies in place to guide practice.  Residents and family members interviewed expressed satisfaction with the laundry and cleaning services provided at Bupa Te Puke.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Activities staff are also trained in first aid and CPR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residents are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ceiling heating throughout communal areas and corridors.  There is a gas log fire in the lounge area outside of the dining room in the rest home.  Each bedroom has an electric panel that is individually controlled.  All communal rooms and bedrooms are well ventilated and light.  Residents interviewed stated the temperature of the facility was comfortable.  There is plenty of natural light in resident’s rooms, along corridors and in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practises and reporting. The infection control coordinator is a registered nurse (CM) and she is responsible for infection control across the facility. The committee and the Bupa governing body in conjunction with Bug Control, is responsible for the development of the infection control programme and its review.  A lower north/southern regional infection control meeting addresses infection control issues across the organisation.  The infection control programme is well established at Bupa Te Puke. The quality/infection control committee consists of a cross section of staff and there is external input as required from general practitioners, and local community laboratory.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Te Puke.  The infection control (IC) coordinator has maintained best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 package includes specific training around hand washing and standard precautions.  Infection control training was last provided June 2017.</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received education by an external provider to enhance her skills and knowledge.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A number of toolbox talks have been provided including (but not limited to) preventing UTIs.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br/>
              <w:t>A monthly log of infections and short-term care plans are completed for all resident infections.  Infection control data is collated monthly and reported at the quality and risk, and staff meetings.  The surveillance of infection data assists in evaluating compliance with infection control practices, identifying trends and corrective actions/quality initiatives.  Infection control data is on display for staff.  The infection control programme is linked with the quality management programme.  The results are subsequently included in the manager’s report on clinical indicators.  Benchmarking occurs against other Bupa facilities.</w:t>
              <w:br/>
              <w:t xml:space="preserve">Internal infection control audits also assist the service in evaluating infection control needs.  There is close liaison with the GPs that advise and provide feedback/information to the service.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three hospital level residents with restraints and no residents using an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has been provided.  Restraint is discussed as part of staff meetings and in separate (monthly) restraint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All three files for the residents using restraints were reviewed.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evidenced in all three residents’ files where restraint was in use.  An internal restraint audit, conducted annually,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two hourly checks (at a minimum) were sighted on the monitoring forms for all three residents using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scheduled three-monthly.  The three residents (recently) using restraints had not been using restraint for three months.  Restraint use is discussed in a range of meetings (restraint meetings, staff meetings, RN meetings)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2"/>
        <w:gridCol w:w="1280"/>
        <w:gridCol w:w="3831"/>
        <w:gridCol w:w="59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Te Puke has been committed to reducing the number of urinary tract infections.  A review process has occurred, including analysis and reporting of findings.  There is evidence of action taken based on findings that has made improvements to service provision and resident care and reduced the number of urinary tract infections (UTIs).</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dedicated respite bed can be booked in advance for either rest home or hospital level of care to enable families to make plans in the future.  No other facilities in the Bay of Plenty are offering this advanced booking service.  This service was started in 2016 and has steadily increased in 2017 with bookings already made through February 2018.  A second respite bed was recently opened to meet demand.  Relatives using this service find it very beneficial and are using it repeatedly and are referring others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now include intravenous (IV) therapy with RNs trained to cannulate and give antibiotics (AB) intravenously.  Seven residents (year-to-date) who were previously sent to Waikato Hospital for IV antibiotics are now able to remain at the facility for their AB therapy.  Residents and their families verbalised that they were much happier staying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won the Bupa Midlands Most Improved Home of the Year Cup for 2016, and also won the award for lowest RN turnover for two consecutive years.  The resident satisfaction survey’s overall satisfaction results have been gradually increasing; from 73% in 2014 to 84% in 2015 and 86% in 2016 (2017 results were not yet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Te Puke has been committed to reducing the number of urinary tract infections.  A review process has occurred, including analysis and reporting of findings.  There is evidence of action taken based on findings that has made improvements to service provision and resident care and reduced the number of urinary tract infections (UTIs).</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project plan was implemented that included a range of initiatives including; a) increased fluid rounds, b) offering jelly, yoghurt and alternative fluid choices to residents having poor oral intake, c) increasing frequency of toileting, and d) vulnerable residents encouraged with fluids and commenced on fluid balance charts.  The service has been successful in reducing the number of UTIs per 1000 bed days. The UTI rate (1.5 per 1000 bed days) has remained under the benchmarking level from October 2016 – June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Te Puke Country Lodge</w:t>
    </w:r>
    <w:bookmarkEnd w:id="58"/>
    <w:r>
      <w:rPr>
        <w:rFonts w:cs="Arial"/>
        <w:sz w:val="16"/>
        <w:szCs w:val="20"/>
      </w:rPr>
      <w:tab/>
      <w:t xml:space="preserve">Date of Audit: </w:t>
    </w:r>
    <w:bookmarkStart w:id="59" w:name="AuditStartDate1"/>
    <w:r>
      <w:rPr>
        <w:rFonts w:cs="Arial"/>
        <w:sz w:val="16"/>
        <w:szCs w:val="20"/>
      </w:rPr>
      <w:t>17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