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Harbourview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Harbourview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2017</w:t>
      </w:r>
      <w:bookmarkEnd w:id="7"/>
      <w:r w:rsidRPr="009418D4">
        <w:rPr>
          <w:rFonts w:cs="Arial"/>
        </w:rPr>
        <w:tab/>
        <w:t xml:space="preserve">End date: </w:t>
      </w:r>
      <w:bookmarkStart w:id="8" w:name="AuditEndDate"/>
      <w:r w:rsidR="00A4268A">
        <w:rPr>
          <w:rFonts w:cs="Arial"/>
        </w:rPr>
        <w:t>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verified the suitability of five existing hospital beds to be used as dual-purpose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Harbourview is part of the Bupa group.  The service is certified to provide hospital (medical, geriatric) and rest home level of care for up to 58 residents.  On the day of audit there were 56 residents.  Residents, families and the GP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also verified five existing hospital beds as suitable to be used as dual-purpose beds. </w:t>
      </w:r>
    </w:p>
    <w:p w:rsidRPr="00A4268A">
      <w:pPr>
        <w:spacing w:before="240" w:line="276" w:lineRule="auto"/>
        <w:rPr>
          <w:rFonts w:eastAsia="Calibri"/>
        </w:rPr>
      </w:pPr>
      <w:r w:rsidRPr="00A4268A">
        <w:rPr>
          <w:rFonts w:eastAsia="Calibri"/>
        </w:rPr>
        <w:t xml:space="preserve">The service has addressed one of two shortfalls from the previous certification audit relating to resident’s self-medicating. Improvements continue to be required in relation to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changes in resident’s health. The care home manager and clinical manager have an open-door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Harbourview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follow-up from a registered nurse.  There are human resources policies including recruitment, selection, orientation and staff training and development.  The service has in place an orientation programme that provides new staff with relevant information for safe work practice.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reviewed were individualised and demonstrated service integration.  Care plans are evaluated at least six-monthly.  Resident files included medical notes by the general practitioner and visiting allied health professionals. The residents and relatives were complimentary about the care received and the services provided at Harbourview. </w:t>
      </w:r>
    </w:p>
    <w:p w:rsidRPr="00A4268A" w:rsidP="00621629">
      <w:pPr>
        <w:spacing w:before="240" w:line="276" w:lineRule="auto"/>
        <w:rPr>
          <w:rFonts w:eastAsia="Calibri"/>
        </w:rPr>
      </w:pPr>
      <w:r w:rsidRPr="00A4268A">
        <w:rPr>
          <w:rFonts w:eastAsia="Calibri"/>
        </w:rPr>
        <w:t xml:space="preserve">Medication policies reflect legislative requirements and guidelines. The service uses an electronic medication system. The medicine charts have been reviewed at least three-monthly. </w:t>
      </w:r>
    </w:p>
    <w:p w:rsidRPr="00A4268A" w:rsidP="00621629">
      <w:pPr>
        <w:spacing w:before="240" w:line="276" w:lineRule="auto"/>
        <w:rPr>
          <w:rFonts w:eastAsia="Calibri"/>
        </w:rPr>
      </w:pPr>
      <w:r w:rsidRPr="00A4268A">
        <w:rPr>
          <w:rFonts w:eastAsia="Calibri"/>
        </w:rPr>
        <w:t xml:space="preserve">A diversional therapist oversees the activity team and implementation of the activity programme for each Bupa facility. The programme includes community visitors,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All meals and baking is done on-site.  Residents' food preferences and dietary requirements are identified at admission and accommodated. The menu is reviewed by the dietitian.  Residents and relatives commented positively on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that expires 30 June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six restraints in use and three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are managed by the care home manager.  The complaints procedure is provided to resident/relatives at entry and is available throughout the facility.  Interview with relatives confirm they were provided with information on complaints and that a complaints procedure is provided to residents within the information pack at entry.  At the time of the audit there had been six complaints made across 2016 and five received in 2017 year-to-date.  All complaints reviewed reflected evidence of responding to complaints in a timely manner with appropriate follow-up actions taken. There was a complaint management record completed for each complaint.  The service is proactive in implementing actions following complaints.  The number of complaints received each month is included in the Bupa benchmarking programme.  One complaint made through the Health and Disability Commissioner and two through the Health and Disability Advocacy have been closed with corrective actions completed where required (letters were sighted confirming that no further action would be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Twelve accident/incident forms reviewed identified family are kept informed.  Two relatives (one hospital and one rest home) interviewed stated that they are kept informed when their family member’s health status changes.  Seven residents (three hospital and four rest home) interviewed stated that they were welcomed on entry and were given time and explanation about the services and procedures.  An interpreter policy and contact details of available interpreters is available.  Interpreter services are used where indicated. The information pack is available in large print and is read to residents who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Harbourview rest home and hospital is a Bupa residential care facility. The service currently provides care for up to 58 residents at hospital and rest home level of care.  On the day of the audit there were 56 residents in total, 30 of 32 hospital level residents including one resident on ACC funded contract and two younger persons with disability residents.  There were 26 of 26 rest home level residents, with 22 of 22 on level one, two of four located downstairs and two rest home level residents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Five hospital beds have been assessed at this audit as suitable to be utilised as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Harbourview is part of the central Bupa region.  A forum is held every six months (with national conference including all the Bupa managers).  Quarterly quality reports on progress towards meeting the quality goals identified are completed at Harbourview and forwarded to the Bupa quality and risk team.  Meeting minutes reviewed included discussing ongoing progress to meeting their goals.  Harbourview annual goals link to the organisations goals and this is also reviewed in quality meetings and in the staff meetings.  A vision, mission statement and objectives are in place.  Annual goals (2017)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and she has been in the role for 18 months and has been working in management at Bupa for five years.  She is supported by a clinical manager who has been in the position for four months.  Support is also provided by the operations manager, who was present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operations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The resident satisfaction survey for 2016 improved to 100% overall satisfaction from 91% overall satisfaction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One health and safety officer (maintenance person)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and chair alarms.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Twelve accident/incident forms were reviewed for June 2016.  Incidents documented demonstrated immediate follow-up from a registered nurse.  Not all neurological observations conducted for unwitnessed falls reviewed were completed for the timeframes required by the organisational policy (link 1.3.6.1).  Incidents are benchmarked and analysed for trends.  The care home manager and operations manager were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that include recruitment, selection, orientation and staff training and development. Five staff files reviewed (one clinical manager, one RN, two caregivers and one activities coordinator)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education and training calendar schedule in place. There is an attendance register for each training session and an individual staff member record of training.  Staff are required to complete written core competencies during their induction and annually there after.  Competency register sited.  Registered nurses are supported to maintain their professional competency.  Six registered nurses are employed and four have completed their interRAI training.  There are implemented competencies for registered nurses including (but not limited to)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work full-time, Monday through to Friday.  The care home manager is on-call for any non-clinical matters and the clinical manager is on-call for any 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hospital area (32 residents, including two rest home) there is a RN on the morning, the afternoon and night shifts.  There are six caregivers in the hospital area on the morning shift, five caregivers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rest home area (24 residents, including two residents’ downstairs) there are three caregivers on the morning shift.  The clinical manager oversees the residents and addresses any clinical needs.  There are three caregivers on the afternoon shift and one caregiver on the night shift.  The RNs in the hospital area cover the rest home area for the afternoon and nights shifts.  Advised that extra staff can be called on for increased resident requirements.  Interviews with caregivers,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(six hospital - including one resident admitted under a young person with disability contract, and four rest home). There are policies available for safe medicine management that meet legislative requirements.  The service uses an electronic medication management system.  All medication charts sampled met legislative prescribing requirements. The medication charts reviewed identified that the GP had reviewed all residents’ medication three monthly and allergies were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standing orders in use. There were two rest home residents self-medicating on the day of audit and all the required documentation had been completed. There was evidence that the registered nurses were monitoring the residents who were self-medicating, and that they were taking their medication as prescribed. The previous find relating to daily checking of residents who are the self-medicating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this is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on-site.  The chef is supported in the morning and in the afternoon by kitchenhands.  Food services staff have attended food safety training.  The four-weekly seasonal menus have been reviewed by the organisational dietitian. The chef will prepare the residents choice meal on special occasions.  The main meal is now served in the evening as a result of resident feedback on the meal service.  Meals are delivered in bain maries to each unit where meals are served by the chef and a kitchenhand.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a resident dietary profile for new residents and is notified of any dietary changes.  Likes and dislikes are known.  Special diets are accommodated including diabetic desserts, soft and purred diets and vegetarian. The chef is notified of any resident’s dietary changes and weight loss. The chef meets with all new residents to discuss their dietary requirements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meat temperatures are taken and recorded daily.  Perishable foods sighted in the kitchen and facility kitchenette fridges were dated.  The dishwashers are checked regularly by the chemical supplier.  Staff have received training in chemical safety.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Direct input from residents and relatives provide feedback on the meals and food services generally.  Residents and/or family members interviewed were very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wounds.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an understanding of the individualised needs of residents.  Care plan interventions were documented for all assessed care needs including falls prevention. There was evidence of pressure injury prevention interventions such as two hourly turning charts, food and fluid charts, regular monitoring of bowels and regular (monthly or more frequently if required) weight management.  Pain assessments were in place for residents with pain.  Not all monitoring had been documented as completed and therefore this previous finding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team of three activity coordinators to coordinate and provide the integrated rest home/hospital activity programme. The activity coordinators attend six-monthly Bupa training for activities and attend relevant on-site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delivered Monday to Friday, with caregivers coordinating and supervising activities as per the weekend calendar.  There are two activity coordinators on two of the weekdays offering residents a choice of activities.  One-on-one time is spent with residents who are unable to or choose not to join in the group activities.  Bupa has set activities on the programme that is delivered with the flexibility to add site-specific activities, entertainers and outings.  Activities meet the abilities of both resident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including weekly outings, visits to clubs and RSA, visiting Nuns for communion and attending churches of their choice.  Canine friends visit weekly. The service has a wheelchair hoist van. Activity coordinators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themes and birthdays are celebrated.  Staff are actively involved in activities such as the pantomimes, cultural week, mid-winter Christmas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In all resident files reviewed, the individual activity plan was incorporated into the care plan and reviewed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and long-term care plans were reviewed and evaluated by the registered nurse at least six-monthly in all files sampled.  Six-monthly multi-disciplinary reviews (MDR) and meeting minutes are completed by the registered nurse with input from caregivers, the GP, the activities coordinator and any other relevant person involved in the care of the resident, such as the physiotherapist.  Family members are invited to attend the MDR.  Written evaluations are documented, identifying if the resident needs/goals have been met or unmet.  Changes are made to ensure the residents current needs are reflected in the long-term care plan. Short-term care plans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30 June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quality and risk, infection control committee and staff meetings. The surveillance of infection data assists in evaluating compliance with infection control practices, identifying trends and corrective actions/quality initiatives.  Infection control data is on display for staff.  The infection control programme is linked with the quality management programme.  Benchmarking occurs against other Bupa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one outbreak in June 2017.  Documentation sighted confirmed authorities had been notified within a timely manner and the outbreak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of the use of restraints policy ensures that enablers are voluntary, the least restrictive option and allows residents to maintain their independence.  There is a restraint and enabler register. There are currently six hospital residents using restraint and three hospital residents with enablers.  Documentation was reviewed for one restraint and three enablers and evidences assessment, authorisation, consent, planning, monitoring and review of the devices is fully documented.  All enabler consents had been signed by the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5"/>
        <w:gridCol w:w="1280"/>
        <w:gridCol w:w="6880"/>
        <w:gridCol w:w="2231"/>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reviews information gathered from assessments, monitoring charts, observations, and interviews with residents, staff and families to document the interventions required in a care plan. The registered nurses follow-up and assess residents following an adverse event. The registered nurses interviewed advised they complete neurological assessments following an unwitnessed fall, however six hospital residents did not evidence neurological observations had been completed at the frequency and timeframes required by the organisational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hospital residents who had an unwitnessed fall had not had neurological observations completed in the frequency and timeframes required by the organisational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according to the requirements of the organisational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Harbourview Rest Home &amp; Hospital</w:t>
    </w:r>
    <w:bookmarkEnd w:id="58"/>
    <w:r>
      <w:rPr>
        <w:rFonts w:cs="Arial"/>
        <w:sz w:val="16"/>
        <w:szCs w:val="20"/>
      </w:rPr>
      <w:tab/>
      <w:t xml:space="preserve">Date of Audit: </w:t>
    </w:r>
    <w:bookmarkStart w:id="59" w:name="AuditStartDate1"/>
    <w:r>
      <w:rPr>
        <w:rFonts w:cs="Arial"/>
        <w:sz w:val="16"/>
        <w:szCs w:val="20"/>
      </w:rPr>
      <w:t>5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