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Remuera Rise Limited - Remuera Rise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Remuera Rise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Rise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2017</w:t>
      </w:r>
      <w:bookmarkEnd w:id="7"/>
      <w:r w:rsidRPr="009418D4">
        <w:rPr>
          <w:rFonts w:cs="Arial"/>
        </w:rPr>
        <w:tab/>
        <w:t xml:space="preserve">End date: </w:t>
      </w:r>
      <w:bookmarkStart w:id="8" w:name="AuditEndDate"/>
      <w:r w:rsidR="00A4268A">
        <w:rPr>
          <w:rFonts w:cs="Arial"/>
        </w:rPr>
        <w:t>7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Remuera Rise has a 12-bed care home located within a retirement village. The care home provides rest home and hospital level care.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aged residential care contract with the district health board. The audit process included review of policy and procedures, the review of residents’ and staff files, visual inspection and interviews with management, governance, staff, residents and their relatives and the general practitioner (GP). Feedback from residents, and their family and the GP was positive and confirmed a high level of satisfaction.</w:t>
      </w:r>
    </w:p>
    <w:p w:rsidRPr="00A4268A">
      <w:pPr>
        <w:spacing w:before="240" w:line="276" w:lineRule="auto"/>
        <w:rPr>
          <w:rFonts w:eastAsia="Calibri"/>
        </w:rPr>
      </w:pPr>
      <w:r w:rsidRPr="00A4268A">
        <w:rPr>
          <w:rFonts w:eastAsia="Calibri"/>
        </w:rPr>
        <w:t>There have been no changes to the size or scope of services since the previous audit. There have been changes in governance and a new clinical manager was appointed 12 months ago.</w:t>
      </w:r>
    </w:p>
    <w:p w:rsidRPr="00A4268A">
      <w:pPr>
        <w:spacing w:before="240" w:line="276" w:lineRule="auto"/>
        <w:rPr>
          <w:rFonts w:eastAsia="Calibri"/>
        </w:rPr>
      </w:pPr>
      <w:r w:rsidRPr="00A4268A">
        <w:rPr>
          <w:rFonts w:eastAsia="Calibri"/>
        </w:rPr>
        <w:t xml:space="preserve">One area requiring improvement is identified at this audit, relating to the integrity of the adverse event reporting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management system complied with consumer rights legislation and the company’s own policies. Each complaint received had been taken seriously, acknowledged in a timely manner, and thoroughly investigated. Communication between parties and outcomes from complaint investigations were recorded. Residents and relatives confirmed they had been informed about the complaint management process and felt supported to raise any concerns.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structures and processes are monitored regularly by the management and board of directors. The clinical manager is suitably qualified and experienced to run the service. The clinical manager is supported by the clinical and non-clinical staff and the wider retirement village management team.  </w:t>
      </w:r>
    </w:p>
    <w:p w:rsidRPr="00A4268A">
      <w:pPr>
        <w:spacing w:before="240" w:line="276" w:lineRule="auto"/>
        <w:rPr>
          <w:rFonts w:eastAsia="Calibri"/>
        </w:rPr>
      </w:pPr>
      <w:r w:rsidRPr="00A4268A">
        <w:rPr>
          <w:rFonts w:eastAsia="Calibri"/>
        </w:rPr>
        <w:t xml:space="preserve">Remuera Rise has a robust documented and implemented quality and risk management system that supports the provision of clinical care and support. Policies and procedures are developed by an aged care consultancy service and reviewed by the management team at least biannually. Quality and risk performance is reported through staff meetings, as well as being monitored by the board. Review of service delivery includes incidents/accidents, infections, complaints and reports from the internal audit programme. </w:t>
      </w:r>
    </w:p>
    <w:p w:rsidRPr="00A4268A">
      <w:pPr>
        <w:spacing w:before="240" w:line="276" w:lineRule="auto"/>
        <w:rPr>
          <w:rFonts w:eastAsia="Calibri"/>
        </w:rPr>
      </w:pPr>
      <w:r w:rsidRPr="00A4268A">
        <w:rPr>
          <w:rFonts w:eastAsia="Calibri"/>
        </w:rPr>
        <w:t xml:space="preserve">The adverse event reporting system is planned and coordinated with staff documenting and reporting adverse, unplanned or untoward events. </w:t>
      </w:r>
    </w:p>
    <w:p w:rsidRPr="00A4268A">
      <w:pPr>
        <w:spacing w:before="240" w:line="276" w:lineRule="auto"/>
        <w:rPr>
          <w:rFonts w:eastAsia="Calibri"/>
        </w:rPr>
      </w:pPr>
      <w:r w:rsidRPr="00A4268A">
        <w:rPr>
          <w:rFonts w:eastAsia="Calibri"/>
        </w:rPr>
        <w:t xml:space="preserve">Systems for human resources management are well established. There are adequate staff numbers each shift to meet the residents’ needs at the various levels of care. The education programme for all staff is available and planned for the year. Staff education is encouraged.  </w:t>
      </w:r>
    </w:p>
    <w:p w:rsidRPr="00A4268A">
      <w:pPr>
        <w:spacing w:before="240" w:line="276" w:lineRule="auto"/>
        <w:rPr>
          <w:rFonts w:eastAsia="Calibri"/>
        </w:rPr>
      </w:pPr>
      <w:r w:rsidRPr="00A4268A">
        <w:rPr>
          <w:rFonts w:eastAsia="Calibri"/>
        </w:rPr>
        <w:t>Consumer information is being managed appropriately and in accordance with regulatory and legislative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Management of waste and hazardous substances is safe and meets regulatory requirements. </w:t>
      </w:r>
    </w:p>
    <w:p w:rsidRPr="00A4268A">
      <w:pPr>
        <w:spacing w:before="240" w:line="276" w:lineRule="auto"/>
        <w:rPr>
          <w:rFonts w:eastAsia="Calibri"/>
        </w:rPr>
      </w:pPr>
      <w:r w:rsidRPr="00A4268A">
        <w:rPr>
          <w:rFonts w:eastAsia="Calibri"/>
        </w:rPr>
        <w:t xml:space="preserve">There is a current building warrant of fitness. There have been no changes to the layout of the building that has required review of the approved evacuation scheme. Trial fire evacuations are occurring every six months. </w:t>
      </w:r>
    </w:p>
    <w:p w:rsidRPr="00A4268A">
      <w:pPr>
        <w:spacing w:before="240" w:line="276" w:lineRule="auto"/>
        <w:rPr>
          <w:rFonts w:eastAsia="Calibri"/>
        </w:rPr>
      </w:pPr>
      <w:r w:rsidRPr="00A4268A">
        <w:rPr>
          <w:rFonts w:eastAsia="Calibri"/>
        </w:rPr>
        <w:t xml:space="preserve">Bedrooms, bathrooms and personal spaces are spacious and disability accessible. Residents are their families were satisfied with the dining and recreational spaces provided. Preventative and reactive building and equipment maintenance is carried out or overseen by maintenance personnel. </w:t>
      </w:r>
    </w:p>
    <w:p w:rsidRPr="00A4268A">
      <w:pPr>
        <w:spacing w:before="240" w:line="276" w:lineRule="auto"/>
        <w:rPr>
          <w:rFonts w:eastAsia="Calibri"/>
        </w:rPr>
      </w:pPr>
      <w:r w:rsidRPr="00A4268A">
        <w:rPr>
          <w:rFonts w:eastAsia="Calibri"/>
        </w:rPr>
        <w:t xml:space="preserve">Laundry and cleaning services are safe, hygienic and effective. </w:t>
      </w:r>
    </w:p>
    <w:p w:rsidRPr="00A4268A">
      <w:pPr>
        <w:spacing w:before="240" w:line="276" w:lineRule="auto"/>
        <w:rPr>
          <w:rFonts w:eastAsia="Calibri"/>
        </w:rPr>
      </w:pPr>
      <w:r w:rsidRPr="00A4268A">
        <w:rPr>
          <w:rFonts w:eastAsia="Calibri"/>
        </w:rPr>
        <w:t>Fully equipped civil defence kits and emergency equipment are stored on site. These and the emergency management plans are suitable and sufficient for the size and scope of the service.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Remuera Rise has not used a restraint intervention since the previous audit. There were no enablers in use during the audit days. Policies and ongoing education ensures that staff understand the requirements of the standard and the implications of restraint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5"/>
        <w:gridCol w:w="1280"/>
        <w:gridCol w:w="9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Rise Care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care home. Family members and residents spoken with were aware of the Advocacy Service, how to access this and their right to have support persons. Staff and the acting clinical manager provided examples of the involvement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internal audits and review of complaints received in 2016-2017 showed that complaints are managed within policy time frames and comply with Right 10 of the Code. The three complaints logged since April 2016, have been resolved to the satisfaction of all parties. Interview with a resident and a family member who’s other family member recently raised a concern, confirmed that the complaint process is fair to all parties. They felt safe and encouraged to provide feedback.  Complaints forms are on display at the reception area. Information about complaints is provided at admission and residents and families are advised about the availability of advocacy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 with staff. The Code is displayed the main foyer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continuing to attend activities, participation in community groups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care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and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 staff being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executive chair of the board who was appointed in May 2017, revealed some of the current principles within the governing body. These included ensuring that ‘residents are central to care’, that the business is sustainable and the care home is ‘audit ready every day’. One of the articulated values of the company is to get ‘better and better at what we do’. There has been a recent realignment within the executive management team and a redefinition of position descriptions to assist in the upholding of the company values. The business plan is current and includes a vision, philosophy and goals. It is regularly reviewed for progress at three monthly board meetings. The scope of services is described as a retirement village with a maximum 12 bed onsite hospital and rest home level care home. The home is consistently full with all beds occupied and there is a waiting list which is frequently reviewed by the clinical manager.  Interview with the General Operations Manager confirmed the organisational structure, accountabilities and reporting lines are known and adhered to by all staff.</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appointed in August 2016, is a registered nurse with a current practising certificate and nine years’ experience in aged care. This person is maintaining a nursing portfolio and complying with the ARC agreement by attending ongoing education in subject areas relevant to the manager’s role and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Remuera Rise has contracts to provide rest home and hospital level care.  On the day of audit there were ten residents receiving hospital level care and two residents receiving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role is covered by the senior RN with support from the directors, during any planned or unexpected absences. The senior RN has been employed at the care facility for more than three years. This person interviewed has successfully ‘acted up’ in the CM’s role on previous occasions.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use an external quality system. The system is regularly updated with best practice policies and procedures and provides benchmarking, quality and risk monitoring. Quality and risk is fully implemented and geared toward continuous quality improvement. Review of meeting minutes and interviews confirmed that care staff and senior management are directly involved and kept updated about quality and risk matters.  Internal audits are co-ordinated by the CM. The sighted schedule for 2016-2017, along with internal audits completed to date, demonstrate that all areas of service delivery are monitored, and where deficits are identified, these are addressed by implementing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and easy to understand methods for collecting, analysing and reporting quality data, such as, accident/incidents and other events, internal and external audit outcomes, complaints, infection control events, and health and safety matters. There has been no restraint usage.  </w:t>
            </w:r>
          </w:p>
          <w:p w:rsidR="00EB7645" w:rsidRPr="00BE00C7" w:rsidP="00BE00C7">
            <w:pPr>
              <w:pStyle w:val="OutcomeDescription"/>
              <w:spacing w:before="120" w:after="120"/>
              <w:rPr>
                <w:rFonts w:cs="Arial"/>
                <w:b w:val="0"/>
                <w:lang w:eastAsia="en-NZ"/>
              </w:rPr>
            </w:pPr>
            <w:r w:rsidRPr="00BE00C7">
              <w:rPr>
                <w:rFonts w:cs="Arial"/>
                <w:b w:val="0"/>
                <w:lang w:eastAsia="en-NZ"/>
              </w:rPr>
              <w:t>A review of meeting minutes confirmed that all care issues, including the type and number of adverse events, is discussed in depth. There is an emphasis on minimising and preventing risks to residents. The care staff interviewed confirmed that quality improvement data is shared with them.</w:t>
            </w:r>
          </w:p>
          <w:p w:rsidR="00EB7645" w:rsidRPr="00BE00C7" w:rsidP="00BE00C7">
            <w:pPr>
              <w:pStyle w:val="OutcomeDescription"/>
              <w:spacing w:before="120" w:after="120"/>
              <w:rPr>
                <w:rFonts w:cs="Arial"/>
                <w:b w:val="0"/>
                <w:lang w:eastAsia="en-NZ"/>
              </w:rPr>
            </w:pPr>
            <w:r w:rsidRPr="00BE00C7">
              <w:rPr>
                <w:rFonts w:cs="Arial"/>
                <w:b w:val="0"/>
                <w:lang w:eastAsia="en-NZ"/>
              </w:rPr>
              <w:t>The Health &amp; Safety Manual includes relevant policies and procedures. The allocated health and safety staff member is the activities coordinator. This person interviewed monitors the environment and practices for hazards or safety concerns and stated they report any matters to the CM and General Operations Manager. Any ongoing hazards are entered in to the hazard register, with corresponding actions to minimise, isolate or eliminate the hazard. These are monitored for effectiveness. The hazard register was observed to be current and updated. Material Safety Data Sheets are available and located in all areas where chemicals are stored. Planned and reactive maintenance and equipment checks and calibration is carried out regularly by the maintenance person and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confirmed the policies and procedures provide appropriate guidance for the service delivery and that they are advised of new or revised policies. A document review confirmed that all policies were current, reference best practice, regulations and legislation and are controlled. The service meets the contractual (ARCC) requirements in regards to quality and risk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understands the responsibilities for essential notifications, including the essential notification of stage three and above pressure injuries.  Policy and procedures comply with essential notification reporting as required under section 31. A notification about the change of manager was submitted to the MoH in 2016 and the new chairperson.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(accidents/incidents and medicine errors) are reported to the CM and entered in to the electronic system. The CM investigates, analyses and collates these into month by month data with actions to address any shortfalls identified. An inaccuracy was identified between what was entered in to the electronic system and what was documented in the resident’s hard copy file. This and the absence of detail or sufficient descriptions in a number of the reports entered electronically has raised a corrective action in 1.2.4.3. Although staff interviewed understood their responsibilities and what needs to be reported through the incident/accident management system, the need to write up events in the progress notes and then type in to the electronic system could lead them to take short cuts. If inaccurate data is entered into the electronic system, the analysis of type and frequency of events becomes inaccurate.  The accuracy of entries requires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confirmed they are notified of any events involving their loved one, and evidence of this was seen in the electronic system. There is evidence that open disclosure about adverse events occurs.  There have been no serious or sentinel events since the previous audit with the exception of one fracture. The rate of falls and medicine errors is low, taking into account the acuity and dependency of residents. The CM has implemented a quality initiative to reduce the number of skin tears that occur with or without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personnel records reviewed contained evidence that qualifications are checked, interview questions and responses are documented, and that referee checks occur prior to employment being offered and confirmed subject to police checks. Copies of all registered health practitioners’ (eg, GP, pharmacist, physiotherapist, dietitian) professional membership and current practising certificates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is comprehensive and specific to the type of services delivered. Interviews with the CM, RNs, HCAs and allied staff, review of personnel records and the annual education programme confirms that regular ongoing training in relevant subject areas is provided. This includes consumer rights, and day to day practices. For example, safe medicines management, personal care/hygiene and skin integrity, infection prevention guidelines, cleaning and laundry, food safety, falls prevention, emergency preparedness, accident incident reporting, restraint and management of challenging behaviours. Three of the five RNS have completed interRAI competency and one more is scheduled to undertake training. </w:t>
            </w:r>
          </w:p>
          <w:p w:rsidR="00EB7645" w:rsidRPr="00BE00C7" w:rsidP="00BE00C7">
            <w:pPr>
              <w:pStyle w:val="OutcomeDescription"/>
              <w:spacing w:before="120" w:after="120"/>
              <w:rPr>
                <w:rFonts w:cs="Arial"/>
                <w:b w:val="0"/>
                <w:lang w:eastAsia="en-NZ"/>
              </w:rPr>
            </w:pPr>
            <w:r w:rsidRPr="00BE00C7">
              <w:rPr>
                <w:rFonts w:cs="Arial"/>
                <w:b w:val="0"/>
                <w:lang w:eastAsia="en-NZ"/>
              </w:rPr>
              <w:t>The personnel records reviewed contained evidence that performance appraisals are being completed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based on contractual requirements, safe staffing indicators and the assessed needs of the residents. The clinical manager reports that the allocation and skill mix of the staff is reviewed to ensure the needs of the residents are met. The clinical manager and RN coordinate weekly to ensure there are appropriate staff numbers and skill mix to meet resident’s needs. If there are residents who require more complex care or observing, additional staff are rostered.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at least two staff members on duty each shift and all hold current first aid certificates. Activities, housekeeping and maintenance personnel are employed for sufficient hours each week to meet the work required of them. Interview with the GP confirmed there is 24 hours a day, seven days a week medical cover. This person said that after hours call outs are always for legitimate and urgent matters and that this does not occur frequently. The service contracts a physiotherapist (4 hours a week), mobility therapist (2 days a week), and a podiatrist and dietician as required. Cleaning staff are on site seven days a week and laundry services are provided by the health care assistants. Residents and family members reported there are adequate numbers of staff to meet their, or their family member’s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care home prior to admission and are provided with written information about the service and the admission process.   The organisation seeks updated information from the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is provided for the ongoing management of the resident.  All referrals are documented in the progress notes. An example reviewed of a patient transferred to the local acute care facility showed appropriate and expected documentation.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care home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operations manager stated that the service is currently working towards an approved food safety plan.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care home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members.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Two of 12 residents did not have an up to date interRAI assessment, ever a corrective action plan was in place, and the two interRAI assessments were in draft and being completed on the day of audit.   All residents have interRAI assessments completed by one of three trained interRAI assessors on site with another staff member booked in for upcoming training.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very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activity co-ordinator who is currently training as a Diversional Therapist holding the national Certificate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 are involved in evaluating and improving the programme through residents’ meetings, satisfaction surveys. Residents interviewed confirmed they find the programme interactive and relevant.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a dietician. The resident and the family are kept informed of the referral process, as verified by documentation and interviews. Any acute/urgent referrals are attended to immediately, such as sending the resident to hospital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described policies and procedures for the safe handling of waste, infectious or hazardous substances, use of PPE, management of incidents involving infectious material, needle stick injuries, and contact with blood and body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(PPE) is available (eg, goggles/visors, gloves, aprons, footwear, and masks). Containers of disposable gloves and hand sanitizer liquid are located throughout the facility. There have been no incidents involving waste or hazardous substances and observation and interview with staff on both days of audit demonstrated use of PPE and careful handling, and safe and appropriate storage and disposal of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is designed and built to the NZ disability standard. Corridors are wide and safety rails are installed at the correct height for safe mobilisation. Automatic opening doors are deliberately slow for older people. The annual building warrant of fitness is current until 31 July 2017 and the process for renewal is underway.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room is fitted with an Argo overhead hoist with tracks that lead from bed to bathroom. All other equipment necessary for hospital care is in place and is being checked, calibrated and maintained annually; the most recent check was June 2017. Annual checks include electric beds, the electronic chair scale, suction equipment, nebuliser, and an oxygen concentrator, a standing hoist, blood glucose meters and other medical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are no changes in floor surface and levels. Carpet and vinyl floor surfaces are easily sanitised and in good condition. The layout of the facility maximises auditory and visual privacy. All external areas are designed to be safe and appropriate for older people. There is access to an enclosed external garden with a safe walkway to the deck/balcony area outside the dining room. All pavement surfaces are at the same level and non-slip, there is safe and adequate seating suitable for older people. Shading and shelter is provided for recreation or evacuation purpose. There have been no changes to the structure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twelve bedrooms have disability accessible ensuite bathrooms. There are four rooms with a shared ensuite which are occupied by residents of the same gender who agree to share. The fixtures, fittings, floors and wall surfaces are constructed from materials that can be easily cleaned. Each ensuite is designed to allow for use of mobility aids and provide working space for two to three care staff if required. Each bathroom has adequate systems for heating and ventilation, a high-rise toilet, showers with flexible shower heads and easy to operate mixers, and a hand basin and vanity with sufficient storage. Approved grab rails are appropriately secured. There are new commode shower chairs in each bathroom. Maintenance staff carry out monthly hot water temperature checks and records show that temperatures are all below 45 degrees centigrade. </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and visitors’ toilets are readily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is fully furnished with a wide single high/low electric bed, a reclining arm chair, an additional chair and a lockable bedside cabinet. Access is through double doors which are wide enough to accommodate the standing hoist. There is plenty of space for manoeuvring with all the furniture in place. Each room has a large built in wardrobe with shelving and drawers. There are sufficient and conveniently located power points and telephone jack points. There is a flexible hinged reading lamp above each bed. Flat screen televisions are installed in each room. All rooms have large opening windows and curtains for privacy, including curtains around the bed and across the viewing pane in the door.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large common room contains dining and lounge furniture sufficient for 12 residents and their guests. Group recreational activities occur here or are provided one to one in bedrooms. The common room is within easy walking area to all bedrooms. Residents and family and staff interviewed were satisfied with the layout, space, furniture and fittings provided in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Housekeeping staff are employed for four hours seven days a week. Interview with a person employed in the role, inspection of the environment, chemical storage areas and systems in place confirmed that cleaning services are safe, effective and provided to a high standard. Chemicals are decanted into marked containers and stored securely when not in use.  The health care assistants on all shifts are responsible for completing laundry tasks. All staff have completed safe handling of chemicals. Regular audits and satisfaction surveys about cleaning and laundry are carried out to monitor adherence to policy and process and review effectiveness. There have been no incidents or complaints related to cleaning or laundry, Residents and family expressed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security and emergencies such as fire, earthquakes, flood, gas leak, loss of water or electricity, clearly describe protocols to follow. There are separate policies for resident emergencies, such as, choking, poisoning, burns and allergies. Apart from medical emergencies, there have been no natural or civil emergencies.</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emergency backup lighting and a generator system for power outages which lasts for 36 hours. The two civil defence boxes, fire evacuation kit and resident register contain up to date information and appropriate equipment and supplies supply for a maximum of 12 residents. Sufficient food and water is stored on site. Village residents are instructed to provide for themselves.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suppression systems such as sprinklers, fire hoses and extinguishers and the exits are checked monthly by an externally contracted provider. Fire proof doors close, voice commands initiate and emergency response teams are notified when an alarm is activated. The call bell system tested was functional and staff responded within a minute. The residents interviewed confirmed that staff attend to call bells promptly. The calls register on an electrical board located opposite the reception desk/nurses’ station. Emergency calls are linked to the rest of the building to alert all available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and education in responding to emergency situations are part of the orientation process when staff commence employment. Staff interviews confirmed knowledge and understanding about emergency, security and fire safety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NZ Fire services in June 2013 and fire drills occur six monthly. Records show the most recent trials happened on 26 January 2017 and 20 July 2016. </w:t>
            </w:r>
          </w:p>
          <w:p w:rsidR="00EB7645" w:rsidRPr="00BE00C7" w:rsidP="00BE00C7">
            <w:pPr>
              <w:pStyle w:val="OutcomeDescription"/>
              <w:spacing w:before="120" w:after="120"/>
              <w:rPr>
                <w:rFonts w:cs="Arial"/>
                <w:b w:val="0"/>
                <w:lang w:eastAsia="en-NZ"/>
              </w:rPr>
            </w:pPr>
            <w:r w:rsidRPr="00BE00C7">
              <w:rPr>
                <w:rFonts w:cs="Arial"/>
                <w:b w:val="0"/>
                <w:lang w:eastAsia="en-NZ"/>
              </w:rPr>
              <w:t>Building security is effective with in built camera monitoring and intercom system. The front door is locked at night and access to the care facility, individual apartments and the rest of the building, is by intercom access and/or swipe cards. There have been no security incidents in the past two years. The major incidents emergency plan and security arrangements meet the ARCC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gas fired central heating system installed throughout the building. Heat is provided by vents to communal areas and bedrooms. There are temperature control systems in each bedroom for residents to adjust individual room temperatures. All resident areas have windows and/or external opening glass doors which provide adequate ventilation. Residents, family members and staff interviewed stated that building temperatures and ventilation/fresh air flow is safe and comfortable.</w:t>
            </w:r>
          </w:p>
          <w:p w:rsidR="00EB7645" w:rsidRPr="00BE00C7" w:rsidP="00BE00C7">
            <w:pPr>
              <w:pStyle w:val="OutcomeDescription"/>
              <w:spacing w:before="120" w:after="120"/>
              <w:rPr>
                <w:rFonts w:cs="Arial"/>
                <w:b w:val="0"/>
                <w:lang w:eastAsia="en-NZ"/>
              </w:rPr>
            </w:pPr>
            <w:r w:rsidRPr="00BE00C7">
              <w:rPr>
                <w:rFonts w:cs="Arial"/>
                <w:b w:val="0"/>
                <w:lang w:eastAsia="en-NZ"/>
              </w:rPr>
              <w:t>This meets the ARCC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an external service.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is the designated IPC coordinator, whose role and responsibilities are defined in a job description. Infection control matters, including surveillance results, are reported monthly to the care home manager and tabled at the infection control and quality/risk committee meetings.  This committee includes the care home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care home.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two months.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May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homes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IPC committee and board members.  Data is benchmarked externally with other aged care providers. Benchmarking has provided assurance that infection rates in the care home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restraint interventions since the previous audit and no enablers were in use on the days of audit. Interview with the restraint coordinator and review of meeting minutes confirmed that policies are current and staff attend ongoing education.  The RNs and HCAs interviewed understood the requirements of the standard and the implications of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1"/>
        <w:gridCol w:w="1280"/>
        <w:gridCol w:w="3884"/>
        <w:gridCol w:w="3144"/>
        <w:gridCol w:w="22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adverse event had been incorrectly entered in to the system, which meant the hard copy version of the event did not match the electronic copy. This was confirmed by interview with the RN, CM and comparison of resident files with the database.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sample of other events from 2016-2017 revealed that there is not always sufficient detail to describe the event, its short and long term impact on the resident and the outcome of the investigation.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integrity of the adverse events database and its ability to correctly report trends and/or benchmark with other service provider’s events data, is compromised by inaccurate or incomplete data entry.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adverse events are entered accurately into the system and that the event is described in enough detail to provide an auditable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Remuera Rise Limited - Remuera Rise</w:t>
    </w:r>
    <w:bookmarkEnd w:id="58"/>
    <w:r>
      <w:rPr>
        <w:rFonts w:cs="Arial"/>
        <w:sz w:val="16"/>
        <w:szCs w:val="20"/>
      </w:rPr>
      <w:tab/>
      <w:t xml:space="preserve">Date of Audit: </w:t>
    </w:r>
    <w:bookmarkStart w:id="59" w:name="AuditStartDate1"/>
    <w:r>
      <w:rPr>
        <w:rFonts w:cs="Arial"/>
        <w:sz w:val="16"/>
        <w:szCs w:val="20"/>
      </w:rPr>
      <w:t>6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