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Rannerdale War Veterans Home Limited - Rannerdale War Veterans' Hospital and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Rannerdale War Veterans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Rannerdale War Veterans' Hospital and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June 2017</w:t>
      </w:r>
      <w:bookmarkEnd w:id="7"/>
      <w:r w:rsidRPr="009418D4">
        <w:rPr>
          <w:rFonts w:cs="Arial"/>
        </w:rPr>
        <w:tab/>
        <w:t xml:space="preserve">End date: </w:t>
      </w:r>
      <w:bookmarkStart w:id="8" w:name="AuditEndDate"/>
      <w:r w:rsidR="00A4268A">
        <w:rPr>
          <w:rFonts w:cs="Arial"/>
        </w:rPr>
        <w:t>2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Rannerdale War Veterans' Hospital and Home is owned and operated by the Rannerdale Trust.  The service provides hospital, rest home and residential disability (physical) level care for up to 65 residents.  On the day of the audit, there were 59 residents.  </w:t>
      </w:r>
    </w:p>
    <w:p w:rsidRPr="00A4268A">
      <w:pPr>
        <w:spacing w:before="240" w:line="276" w:lineRule="auto"/>
        <w:rPr>
          <w:rFonts w:eastAsia="Calibri"/>
        </w:rPr>
      </w:pPr>
      <w:r w:rsidRPr="00A4268A">
        <w:rPr>
          <w:rFonts w:eastAsia="Calibri"/>
        </w:rPr>
        <w:t>This surveillance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This audit has identified that eight of fourteen previous audit findings have been addressed around clinical follow-up of incidents, corrective actions, signing and dating documents, first aid training, chemical storage, medication documentation and competencies, and timeliness of clinical documentation.</w:t>
      </w:r>
    </w:p>
    <w:p w:rsidRPr="00A4268A">
      <w:pPr>
        <w:spacing w:before="240" w:line="276" w:lineRule="auto"/>
        <w:rPr>
          <w:rFonts w:eastAsia="Calibri"/>
        </w:rPr>
      </w:pPr>
      <w:r w:rsidRPr="00A4268A">
        <w:rPr>
          <w:rFonts w:eastAsia="Calibri"/>
        </w:rPr>
        <w:t>Further improvements continue to be required around open disclosure, meeting minutes, staff training, wound documentation, care interventions and self-medication.</w:t>
      </w:r>
    </w:p>
    <w:p w:rsidRPr="00A4268A">
      <w:pPr>
        <w:spacing w:before="240" w:line="276" w:lineRule="auto"/>
        <w:rPr>
          <w:rFonts w:eastAsia="Calibri"/>
        </w:rPr>
      </w:pPr>
      <w:r w:rsidRPr="00A4268A">
        <w:rPr>
          <w:rFonts w:eastAsia="Calibri"/>
        </w:rPr>
        <w:t>This audit also identified an area for improvement around the completion of internal audits and diversional therapy care plans for all residents.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  Quality activities are conducted.  Intermittent meetings are held to discuss quality and risk management processes.  Residents and families are surveyed annually.  Health and safety policies, systems and processes are implemented to manage risk.  Incidents and accidents are reported.  Appropriate employment processes are adhered to and all employees have an annual staff performance appraisal completed.  The service has an orientation programme in place that provides new staff with relevant information for safe work practice.  There is a documented in-service education programme.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Residents’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 documentation of allergies and are reviewed at least three monthly by the general practitioner.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residents.  The programme includes community visitors and outings, entertainment and activities that meet the needs of both older and younger residents. </w:t>
      </w:r>
    </w:p>
    <w:p w:rsidRPr="00A4268A" w:rsidP="00621629">
      <w:pPr>
        <w:spacing w:before="240" w:line="276" w:lineRule="auto"/>
        <w:rPr>
          <w:rFonts w:eastAsia="Calibri"/>
        </w:rPr>
      </w:pPr>
      <w:r w:rsidRPr="00A4268A">
        <w:rPr>
          <w:rFonts w:eastAsia="Calibri"/>
        </w:rPr>
        <w:t xml:space="preserve">All food and baking is done on site by the contracted catering company.  Residents' nutritional needs are identified and documented.  Choices are available and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two hospital residents who required enablers and no residents required the use of restraints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nurse uses the information obtained through surveillance to determine infection control activities, resources and education needs within the facility.  The service engages in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complaints policy.  There are complaint forms available throughout the facility.  Information about complaints is provided on admission.  Interview with residents demonstrated an understanding of the complaints process.  Staff interviewed described the process around reporting complaints.  There is a complaint register.  Verbal and written complaints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16 complaints made in 2016 and five complaints received in 2017 year to date.  All complaints reviewed document a timely response to complainants.  The complaints documentation includes: an investigation, corrective actions when required and resolutions.  Additionally, there have been ten complaints (concerns) made in 2017 around food services.  Corrective actions are being implemented and are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(five rest home and two hospital)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The previous finding around informing families remains open. Ten incidents/accidents forms were reviewed for May 2017.  The forms included a section to record family notification.  Not all forms indicated family were informed or if family did not wish to be informed.  One family member (hospital)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War Veterans' Hospital and Home (Rannerdale) is owned and operated by the Rannerdale Trust.  The service provides hospital, rest home and residential disability (physical) level care for up to 65 residents.  At the time of the audit, there were three of fifteen rest home rooms that were not used upstairs due to earthquake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59 residents.  This includes 34 rest home level residents (including five on long-term chronic care (LTCC) contracts, one resident funded by ACC and one resident on respite) and 25 hospital level residents (including four on LTCC contracts and two residents on acute mental health care contracts).  Inclusive in resident numbers, 12 of the residents are on younger persons with disability (YPD) contracts (six at hospital level and six at rest home level).  All downstairs rooms (50 rooms)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Rannerdale Trust has a strategic plan in place for 2015 – 2020.  Strategic goals and objectives are documented and are regularly reviewed by the general manager and the trust board.  The organisation has a philosophy of care, which includes a mission statement.  Rannerdale War Veterans' Hospital and Home has a business plan for 2016 – 2017 in place.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an RN and maintains an annual practicing certificate.  He has been at Rannerdale for 14 years.  He is supported by a nurse manager (previously in a quality and training role) and a nurse educator.  The nurse manager is supported by a clinical coordinator.  The general manager and nurse manager have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strategic plan that includes quality goals and risk management plans for Rannerdale.  Progress with the quality and risk management programme is monitored through monthly quality/management meetings and bi-monthly staff meetings.  Interviews with staff confirms that quality data is provided on noticeboards for all staff to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coordinates the quality/risk programme and completes clinical assessments with the clinical coordinator.  The quality and risk management programme is designed to monitor contractual and standards compliance.  Data is collected in relation to a variety of quality activities and an annual internal audit schedule is in place.  The internal audit schedule for 2017 to date has been completed and any corrective actions have been followed up and signed off.  The previous audit finding around corrective actions has been signed out.  Not all meetings and internal audits were evidenced to be held or completed as per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are surveyed annually to gather feedback on the service provided and the outcomes are communicated to residents, staff and families.  Resident meetings and the resident committee meetings are held alternate months.  All residents interviewed stated they are aware of the resident committee meetings and how to have input into them or get feedback.  This aspect of the previous audit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policies/procedures to support service delivery.  A document control policy outlines the system implemented whereby all policies and procedures are reviewed regularly.  Policies and procedures are maintained by an external quality advisor who ensures they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three-monthly health and safety meetings.  Falls prevention strategies include, residents experiencing frequent falls have an increase in monitoring to anticipate needs, (such as ensuring fluids are at hand, call bells are within reach and falls prevention education for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representative (the nurse educator) was interviewed about the health and safety programme.  She has completed external health and safety training.  Risk management, hazard control and emergency policies and procedures are in place.  The service documents and analyses incidents/accidents, unplanned or untoward events and provides feedback to the service and staff.  The data is tabled at staff and quality/management meetings.  A review of the hazard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nurse manager or clinical coordinator investigates accidents and near misses and analysis of incident trends occurs.  There is a discussion of incidents/accidents at clinical leadership meetings including actions to minimise recurrence ( link to 1.2.3.6 for meetings)   An RN has documented a clinical follow-up of residents in all ten incident forms sampled and demonstrated an investigation of incidents to identify areas to minimise the risk of recurrence.  The previous certification audit finding has been addressed.  Discussions with the general manager and nurse manager confirms that there is an awareness of the requirement to notify relevant authorities in relation to essential notifications.  One sudden death was referred to the coroner in March 2016.  The coroner’s inquiry is now closed for this matter.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and include that the recruitment and staff selection process requires that relevant checks are completed to validate the individual’s qualifications, experience and veracity.  A copy of practising certificates is kept.  Five staff files were reviewed (one clinical coordinator, one RN, two healthcare assistants (HCA) and one nurse educator).  These evidence appropriate employment practices including that reference checks were completed before employment was offered.  All staff files sampled have completed current performance appraisals and the clinical component is completed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to meet the needs of the residents under the Aged Residential Care Contract (ARCC).  The in-service education programme is being implemented, but not all staff have received the required training.  The RNs are able to attend external training, including sessions provided by the local DHB.  Registered nurses have attended training around abuse and neglect, wound management and skin integrity/pressure injury care.  This aspect of the previous audit finding has been addressed.  Night staff have attended training in 2016 and 2017 year to date.  This aspect of the previous audit finding has been addressed.  There are currently nine RNs working at Rannerdale.  Four of nine RNs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The general manager and a trust board member interviewed stated that a new organisational structure is in place and that there would be no further changes to the clinical leadership team.  There is a full-time nurse manager (RN) and clinical coordinator (RN) who work from Monday to Friday.  A member of the management team is on call at all times.  Interviews with residents and family members identify that staffing is adequate to meet the needs of residents.  Registered nurses have sufficient time available to complete interRAI assessments and care planning evaluations within contractual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beds are split into three units, Unit A has 26 residents (7 hospital and 19 rest home).  Of the 19 rest home residents in Unit A, 8 are in rooms upstairs (the 8 are mobile and can manage the stairs independently as there is no lift). Unit B has 18 residents (10 hospital and 8 rest home) and unit C has 15 residents (11 hospital and 4 rest home).  There are two RNs and one EN on duty on the AM shift, two RNs on the PM shift and one RN on the night shift in the rest home/hospital area.  The RNs are supported by adequate numbers of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unit A, there is one HCA on duty on the AM shift, two HCAs on the PM shift and one HCA on the night shift.  There are two HCAs on duty on the AM shift, two HCAs on the PM shift and one HCA on the night shift in both units’ B and C.  Additionally, there are two HCA floaters on the AM shift available to assist where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HCA or RN including designation.  The previous certification audit finding has been addressed.  There was documented evidence that resident mobility charts have been amended when resident’s care needs have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An RN checks all medications on delivery against the medication and any pharmacy errors recorded and fed back to the supplying pharmacy.  The medication room is clean and well organised.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enrolled nurses responsible for the administering of medications have completed annual medication competencies and annual medication education.  Healthcare assistants who act as second checker have also completed medication competencies.  This aspect of the previous audit finding has been addressed.  Medications were observed to be administered correctly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Examination of the medication trolleys (two) evidences that all eye drops are dated on opening.  This aspect of the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Twelve electronic medication charts and signing sheets were reviewed (six rest home and six hospital) and identified that; photo identification and allergy status are on all medication charts; indications for use of ‘as required’ medication are documented; all resident medication administration-signing sheets reviewed correspond with the medication chart.  Where medications have been discontinued, this is documented and dated on medication charts by the GP; and the GP has documented specific instructions as to what medication and dose were to be given for ‘as required’ medications.  These previous audit findings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were self-administering medications at the time of audit, not all competencies to self-administer medications have been reviewed as per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contracted meal service provider prepares and cooks all meals on site.  There is a four-weekly winter and summer menu, which has been reviewed by a dietitian.  Meals are prepared in a well-appointed kitchen.  Kitchen staff are trained in safe food handling and food safety procedures are adhered to.  Staff were observed assisting residents with their lunchtime meals and drinks.  Diets are modified as required.  Food services staff know resident dietary profiles, and likes and dislikes and any changes are communicated to the kitchen via the registered nurse or nurse manager.  Supplements are provided to residents with identified weight loss issues.  Weights are monitored monthly or more frequently if required and as directed by a dietitian.  Resident meetings and surveys allow the opportunity for resident feedback on the meals and food services generally.  Residents and a family member interviewed indicated there has been some dissatisfaction with the food service.  The general manager advised that a corrective action plan has been implemented with the contracted meal service provided to address the areas of improvement required from a complaint (link to 1.1.13).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are resident centred, clear ad easy to understand and document support needs and interventions, however not all care plans have been updated to reflect the resident’s current needs.  This previous audit finding has not been addressed.  Residents and a family member interviewed confirm they are involved in the development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are resident centred, clear ad easy to understand and document support needs and interventions, however not all care plans have been updated to reflect the resident’s current needs.  This previous audit finding has not been addressed.  Residents and a family member interviewed confirm they are involved in the development and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involvement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Short-term care plans are in use for acute changes in health status and had been evaluated on a regular basis and signed off as resolved or transferred to the long-term care plan.  Short-term care plans are kept in folders at the nurse’s station and are accessible to care staff.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Healthcare assistants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are in place for wounds.  However, not all wound care documentation was fully completed.  This previous audit finding has not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12 wounds documented for the rest home and hospital.  The wounds include skin tears, chronic ulcers, and surgical wounds and excoriated skin.  The wound care nurse specialist had reviewed the chronic wounds and wound care plans reflected the specialist input.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examples sighted included (but not limited to), weight and vital signs, blood glucose, pain, food and fluid, turning charts and behaviour monitoring as required.  This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30 hours per week Monday – Friday.  The activities coordinator has started their Careerforce level four papers.  The general manager advised that the service is actively advertising at present for a diversional therapist to join the team.</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rehabilitation assistants; one works 30 hours and the other 15 hours per week.  The service focuses on a restorative model of care.</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in both areas.  There is a large recreation room in the facility, which is used by residents and for group activities.  There are resources available for care staff to use for one-on-one time with the residents.  The needs of younger residents are met.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to transport residents to community events and places of interest.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which includes previous hobbies, community links, family and interests, is completed and information from this is fed into the diversional therapy care plan and this is reviewed six monthly as part of the care plan review/evaluation.  Not all resident files reviewed contain a diversional therapy care plan (link to tracer 1.3.3).  There are monthly recreational progress notes in the residents’ file that the activity coordinator completes each month.  </w:t>
            </w:r>
          </w:p>
          <w:p w:rsidR="00EB7645" w:rsidRPr="00BE00C7" w:rsidP="00BE00C7">
            <w:pPr>
              <w:pStyle w:val="OutcomeDescription"/>
              <w:spacing w:before="120" w:after="120"/>
              <w:rPr>
                <w:rFonts w:cs="Arial"/>
                <w:b w:val="0"/>
                <w:lang w:eastAsia="en-NZ"/>
              </w:rPr>
            </w:pPr>
            <w:r w:rsidRPr="00BE00C7">
              <w:rPr>
                <w:rFonts w:cs="Arial"/>
                <w:b w:val="0"/>
                <w:lang w:eastAsia="en-NZ"/>
              </w:rPr>
              <w:t>Residents praised the activities programme provided.  Residents were observed to be provided with and enjoying a wide range of activities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are comprehensive, related to each aspect of the care plan and record the degree of achievement of goals and interventions.  The interRAI assessments has been utilised in conjunction with the six monthly care plan review.  Care plans reviewed had been evaluated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a three-monthly review by the medical practitioner.  The family members interviewed confirm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all chemicals are stored safely.  This previous audit finding has been addressed.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(expiry 1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around fire and emergencies.  Fire drills have been conducted six monthly.  Civil defence and first aid resources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A review of rosters and staff training records/education evidenced that there is a staff member on duty on each shift who has a current first aid certificate.  This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(registered nurse) uses the information obtained through surveillance to determine infection control activities, resources, and education needs within the facility.  Infections are included on a monthly on-line register and a monthly report is completed by the infection control coordinator.  There are standard definitions of infections in place appropriate to the complexity of service provided.  Infection control data is collated monthly and reported at facility meetings.  Benchmarking occurs against other aged care facilities using an on-line programme which has been developed by the external aged care consultant.  An outbreak in July 2016 (influenza) was evidenced to have been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 and two residents with an enabler.  Enabler use is voluntary.  Staff training records evidence guidance has been given on restraint minimisation and enabler usage.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208"/>
        <w:gridCol w:w="499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(RN) is expected to notify family of incidents as confirmed in policy and by the nurse manager.  This had occurred on four of ten incident forms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ten incident forms sampled did not document that family had been notified of the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families are notified of all 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(general manager, nurse manager and nurse educator) and staff, and review of quality/management and staff meeting minutes demonstrates their involvement in quality and risk activities.  Resident meetings and the resident committee meetings are held alternate months.  All residents interviewed stated they are aware of the resident committee meetings and how to have input into them or get feedback.  This aspect of the previous audit finding has been addressed; however, not all meetings have been completed as per annual meeting calendar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facility meetings have been completed as per annual meeting calendar schedule.  Examples include; four of six scheduled staff meetings for 2016 and one of two staff meetings for 2017 have not been held.  For quality meetings; four of five for 2017 have not been held for 2017.  Required actions and responsibilities have not been consistently documented, followed up or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facility meetings are completed as per annual meeting calendar schedule and any required actions and responsibilities are followed up and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annual internal audit schedule is in place.  Audits for 2017 have been completed; however 2016 interval audits have not been completed.  Discussions with the new clinical manager identified that they were aware of the 2016 shortfall and have addressed this in 2017 and going forward.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the internal audit calendar schedule being completed for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annual internal audit calendar schedule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in-service training programme is provided but several groups of staff have not attended and not all required training has been provided.   While aspects of the previous certification finding has been addressed, a finding around training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Staff attendance numbers at compulsory trainings have remained low in 2016 and 2017 year to date.  For example, seven HCAs attended the cultural safety training, four at the resident rights training and 12 at the skin management and pressure injury training.  There was no infection control training provided during that period.  (ii) No training has been provided around working with younger residents including around sexuality needs.  (iii) Not all staff have attended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complete all required training.  (ii) Ensure that training is provided around working with younger residents including around sexuality needs.  (iii) Ensure that all staff have attended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Competency assessments to self-administer medications are in place for three residents, two evidenced that a review of competency had been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Competency assessments were in place for three residents (rest home), to self-administer medications however, two competencies have not been reviewed three monthly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those residents who self-administer medications, ensure competency to self-administer medications is reviewed three monthly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have a long-term care plan in place but not all required interventions are documented.  Short-term care plans are completed for acute events such as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in the six care plans reviewed; (i) one rest home resident care plan documents that the resident is independent with care, but the resident’s health status has changed and the care plan has not been updated to reflect the resident’s required assistance with personal hygiene needs.  (ii) Two care plans (one YPD rest home and one rest home resident) did not document the management of seizures.  (iii) One rest home care plan did not document the management of depression.  The same resident was noted to be 11 kgs above target weight range however; the care plan does not identify what interventions are in place to assist the resident to achieve their target weight goal.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the resident’s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acute changes in health status and had been evaluated on a regular basis and signed off as resolved or transferred to the long-term care plan.  Short-term care plans are kept in folders at the nurse’s station and are accessible to care staff.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with wounds have a documented wound care assessment and management plan, but there was not individual documentation for every wound.  This previous audit finding has not been addressed.  Ten of twelve wound care plans were fully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twelve wound care plans reviewed had more than one wound documented on the assessment and management plan.  An individual assessment and treatment plan had not been completed for each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wound assessment and treatment plan is completed for each wound.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develops the monthly activity programme.  The service has a focus on a restorative model of care.  Two rehabilitation assistants assist with the exercise programmes for individual residents.  There are links with the local community.  The service has implemented new diversional therapy care plans provided by an external aged care consultant.  Diversional therapy care plans were in place in four of six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YPD rest home file and one hospital resident file reviewed did not have a diversional therapy care plan completed to identify the residents’ recreational goals and interests and the support required to achieve their goals. (The sample of YPD resident files was increased and not all included personalised activity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diversional therapy care plans are completed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Rannerdale War Veterans Home Limited - Rannerdale War Veterans' Hospital and Home</w:t>
    </w:r>
    <w:bookmarkEnd w:id="58"/>
    <w:r>
      <w:rPr>
        <w:rFonts w:cs="Arial"/>
        <w:sz w:val="16"/>
        <w:szCs w:val="20"/>
      </w:rPr>
      <w:tab/>
      <w:t xml:space="preserve">Date of Audit: </w:t>
    </w:r>
    <w:bookmarkStart w:id="59" w:name="AuditStartDate1"/>
    <w:r>
      <w:rPr>
        <w:rFonts w:cs="Arial"/>
        <w:sz w:val="16"/>
        <w:szCs w:val="20"/>
      </w:rPr>
      <w:t>1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