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Dementia Specialists Limited - Brooklands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Dementia Specialists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Brooklands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June 2017</w:t>
      </w:r>
      <w:bookmarkEnd w:id="7"/>
      <w:r w:rsidRPr="009418D4">
        <w:rPr>
          <w:rFonts w:cs="Arial"/>
        </w:rPr>
        <w:tab/>
        <w:t xml:space="preserve">End date: </w:t>
      </w:r>
      <w:bookmarkStart w:id="8" w:name="AuditEndDate"/>
      <w:r w:rsidR="00A4268A">
        <w:rPr>
          <w:rFonts w:cs="Arial"/>
        </w:rPr>
        <w:t>16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has changed the bed status from 16 rest home and 12 secure dementia care to 14 rest home and 14 secure dementia care. The total number of beds available has not changed just the configuration of services.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Dementia Specialists Limited – Brooklands Rest Home and Memory Lane provides rest home level care for up to 28 residents, with 14 beds being dedicated secure dementia care beds. The service is privately owned and the management team consists of the owner/director, business manager, facility manager and clinical manager (registered nurse). </w:t>
      </w:r>
    </w:p>
    <w:p w:rsidRPr="00A4268A">
      <w:pPr>
        <w:spacing w:before="240" w:line="276" w:lineRule="auto"/>
        <w:rPr>
          <w:rFonts w:eastAsia="Calibri"/>
        </w:rPr>
      </w:pPr>
      <w:r w:rsidRPr="00A4268A">
        <w:rPr>
          <w:rFonts w:eastAsia="Calibri"/>
        </w:rPr>
        <w:t>The service has reconfigured the bed numbers from 16 rest home and 12 secure dementia care to 14 rest home and 14 secure dementia care. This has not changed the total capacity of the service which is 28 beds in total.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and staff. The general practitioner was not available for interview.</w:t>
      </w:r>
    </w:p>
    <w:p w:rsidRPr="00A4268A">
      <w:pPr>
        <w:spacing w:before="240" w:line="276" w:lineRule="auto"/>
        <w:rPr>
          <w:rFonts w:eastAsia="Calibri"/>
        </w:rPr>
      </w:pPr>
      <w:r w:rsidRPr="00A4268A">
        <w:rPr>
          <w:rFonts w:eastAsia="Calibri"/>
        </w:rPr>
        <w:t xml:space="preserve">This audit has resulted in a continuous improvement in good practice and identified two areas for improvements relating to human resources management and incomplete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 Residents and their families are provided with information about the Health and Disability Commissioner’s Code of Health and Disability Services Consumers’ Rights (the Code) and these are respected. Services providers support personal privacy, independence, individuality and dignity. Staff interact with residents in a respectful manner. The Brooklands Rest Home and Memory Care units are based on a resident centred model of care/service delivery that focuses on the resident’s normal lifestyle choices.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philosophy of the organisation.  Monitoring of the services provided to the governing body is regular and effective. There is an experienced and suitably qualified management team in place with clinical care being overseen by the clinical manager who is a registered nurse.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The appointment, orientation and management of staff which is based on current good practice is reflected in policy.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The service has a resident information management system in place which is appropriate to the service type and setting.</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service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Residents’ needs are assessed on admission, with reassessment occurring at least six monthly. Care plans/lifestyle plans are individualised, based on a range of information and accommodate any new problems that might arise. The files sampled demonstrated that the care provided and needs of residents were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The reconfiguration of the service did not require any change to the fire evacuation procedure as fire cells remain unchanged. 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a restraint free environment. The service was restraint free at the time of audit.  All documents for assessment, approval and monitoring processes are available, should restraint or enablers be used. Policy states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Surveillance data is compared against aged care benchmarking rates.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95"/>
        <w:gridCol w:w="1280"/>
        <w:gridCol w:w="91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Rest Home and Memory Care has developed policies, procedures and processes to meet its obligations in relation to the Code of Health and Disability Services Consumers’ Rights (the Code).  Staff understood the requirements of the Code and were observed demonstrating respectful communication, encouraging independence, providing options, and maintaining dignity and privacy. Training on the Code is included as part of the orientation and in ongoing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understood the principles and practice of informed consent. Informed consent policies provide relevant guidance to staff. The resident’s files sampled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records. Staff were observed to gain consent for day to day care and encouraged the residents to be as independent as possible with their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The facility supports the philosophy of normalisation of family and community participation (also refer to 1.1.8).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complaints forms are on display at the facility. Families and residents confirmed they know the processes to undertake to make a complaint. All complaints are assessed using a documented risk assessment matrix.</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three complaints have been received over the past ten months (since the current owner purchased the facility) and that actions taken, through to an agreed resolution, are documented and completed within the timeframes.  Action plans show any required follow up and improvements have been made where possible.  The facility and clinical managers are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reported being made aware of the Code and the Nationwide Health and Disability Advocacy Service as part of the admission information provided and in discussions with staff. The Code and information on advocacy services is displayed at the entrance, this also includes information on how to make a complaint and provide feedback.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Staff were observed to maintain privacy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going to community activities and participation in clubs of their choosing. The care plans/lifestyle plans included documentation related to the resident’s abilities, and strategies to maximise independence. The philosophy of the rest home and dementia unit (Memory Lane) incorporated the organisational philosophy of person centred care and services that maximise the resident’s independence, abilities and self-worth.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sampled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There are no current residents who identify as Māori, with management reporting there are no known barriers for Maori accessing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sampled of resident from other countries. The resident and family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residents were free from any type of discrimination, harassment or exploitation and felt safe. The induction and ongoing education programmes include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a specific model of care related to residents living with dementia. The person centred approach, though developed for dementia level of care, is incorporated into the service delivery across the service, including the rest home residents. Residents are encouraged with independence and meaningful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are evidence based. The residents have input from external specialist services and allied health professionals, for example, hospice/palliative care team, wound care specialist, psychogeriatrician and mental health services for older persons. 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rarely required due to all residents being able to speak English or staff able to provide interpretation as and when needed. The service has appropriate communication strategies for residents living with cognitive impairment.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will be reviewed annually, outline the purpose, values, scope, direction and goals of the organisation. The documents describe annual and longer term objectives and the associated operational plans. A sample of monthly reports to the owner/director showed adequate information to monitor performance is reported including occupancy, financial, staff retention, adverse events, health and safety, emerging risks and issues. The facility manager and the owner/director have a formalised weekly conference call which was confirmed in minutes sighted. Daily informal phone calls are made to the owner/director to ensure they are kept up to date on the day to day activities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business manager, clinical manager who is a registered nurse, and a facility manager. All members of the management team hold relevant qualifications. The clinical manager has worked at the facility since November 2016, firstly as the clinical nurse leader and then as the clinical manager since May 2017. Responsibilities and accountabilities are defined in a job description and individual employment agreement.  Members of the management team and the owner/director confirmed knowledge of the sector, regulatory and reporting requirements. All members of the management team maintain their knowledge via ongoing education, both clinical and non-clinical, according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24 hour registered nurse cover on call process in place which the clinical manager stated is sustainable with assistance from an experienced casual registered nurse who undertakes this process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an Age Related Residential Care (ARRC) contract with Taranaki District Health Board (TDHB) for rest home level care including secure dementia care and respite care.  All 24 residents were receiving services under the ARRC contract (13 secure dementia care and 11 rest home level care) at the time of audit. There were no respite care residents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business manager is absent, the role is undertaken by the owner/director. When the facility manager is away, the clinical manager and business manager share the required duties under delegated authority. During absences of the clinical manager, the role is undertaken by a casual relief registered nurse who is experienced in the sector and able to take responsibility for any clinical issues that may arise (This person is the previous clinical manager who resigned to work in a different area of health). Staff reported the current arrangements work 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resident and family satisfaction survey, monitoring of outcomes, clinical incidents including infections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 and staff meetings. Staff reported their involvement in quality and risk management activities through internal audit activities. Relevant corrective actions are developed and implemented to address any shortfalls. For example, when resident falls increased, a full review was undertaken and it was noted one resident was having multiple falls. Actions documented included the use of non-slip socks and hip protectors, a GP medical review, physiotherapy input and review of the walking equipment, family involvement and education related to the need to use a walking frame at all times. A sign was placed on the resident’s walking frame and on the wall above the bed reminding the resident to ‘take me with you’ as a visual prompt. This has resulted in a reduced number of falls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have been undertaken. The most recent survey undertaken in February 2017 showed that a corrective action was undertaken related to residents wishing to have more gravy and sauces with their meals. This has resulted in a full array of condiments, including gravy, being provided with main meals, which residents can use to their liking.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All interRAI assessments are undertaken by the clinical manager.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described the processes for the identification, monitoring, review and reporting of risks and development of mitigation strategies. The business and facility managers are familiar with the Health and Safety at Work Act (2015) and have implemented requirements.  A current risk register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accident/incidents forms reviewed showed these were fully completed, incidents were investigated, action plans developed and actions followed-up in a timely manner.  Adverse event data is collated, analysed and reported to the management team including the owner/director.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manager described essential notification reporting requirements, including for pressure injuries.  They advised there have been no notifications of significant events made to the Ministry of Health, since the previous audit. There have been no police investigations, coroner’s inquests, issues based audits, and any other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Documentation related to staff orientation includes all necessary components relevant to the role. With the exception of two staff, it was reported that the orientation process prepared staff well for their role. Six of seven staff records reviewed show documentation is not fully completed to show that all aspects of the orientation process have been undertaken by each staff member. Performance reviews have been undertaken after a three-month period and occur annually thereafter.</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Staff working in the dementia care area have either completed or are enrolled in the required education. The clinical manager (RN) is trained and competent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The on-call is undertaken by the clinical manager for clinical matters and the facility manager deals with non-clinical issues. The casual RN relieves the clinical manager for on-call as required. Care staff reported there were adequate staff available to complete the work allocated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supported this. Observations and review of four weeks rosters confirmed adequate staff cover has been provided, with staff replaced in any unplanned absence.  At least one staff member on duty has a current first aid certificate. The clinical manager works on-site Monday to Friday.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and personal information was completed in the residents’ files sampled for review. Clinical notes were current, with reference made in the resident’s file or care plan regarding any related forms (such as behaviour monitoring, wound treatment plans and short term care plans). The residents’ files contained records from the GP, allied health or another external service provider. The residents’ records sampled included interRAI assessment information entered. The progress note records were legible with the name and designation of the person making the entry identifiable in most instances. There is an overall improvement required in the completing of care and staff forms and documentation. </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or GP for residents accessing respite care. There were no resident receiving respite care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assessments and signed admission agreements in accordance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a transfer form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the transfer form and discharge information from the acute care hospital when the resident returned to the service.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Medicines are supplied to the facility in a pre-packaged format from a contracted pharmacy. The RN checks medicines against the prescription. All medicines sighted were within current use by dates.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were recorded daily. </w:t>
            </w:r>
          </w:p>
          <w:p w:rsidR="00EB7645" w:rsidRPr="00BE00C7" w:rsidP="00BE00C7">
            <w:pPr>
              <w:pStyle w:val="OutcomeDescription"/>
              <w:spacing w:before="120" w:after="120"/>
              <w:rPr>
                <w:rFonts w:cs="Arial"/>
                <w:b w:val="0"/>
                <w:lang w:eastAsia="en-NZ"/>
              </w:rPr>
            </w:pPr>
            <w:r w:rsidRPr="00BE00C7">
              <w:rPr>
                <w:rFonts w:cs="Arial"/>
                <w:b w:val="0"/>
                <w:lang w:eastAsia="en-NZ"/>
              </w:rPr>
              <w:t>Best practice prescribing practices were noted and include the prescriber’s signature and date recorded on the commencement and discontinuation of medicines and all requirements for pro re nata (PRN) medicines. The required three monthly GP review was consistently recorded on the medicine chart.  Standing orders are used, were current and complied with guidelines. There is an implemented process for comprehensive analysis of any medicine errors.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assist with medicine management have a current competency assessment. There were no residents who self-administered medicines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changes to reconfiguration of the service has not had any impact on the medicine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an external contractor/qualified chef/cook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Memory Lane have unrestricted access to food and fluids to meet their nutritional needs. Though there are ranges of meal times, residents in both the rest home and memory care may eat at whatever time suits them.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residents and family members interviewed, satisfaction surveys and resident meeting minutes. Residents were seen to be given sufficient time to eat their meal in an unhurried fashion and those requiring assistance had this provided. Though there are ranges of meal times, residents may eat at whatever time suits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changes to reconfiguration of the service have not had any impact on the kitchen services. The main kitchen remains in the same location, with the kitchenette in Memory Lane being able to cater for the additional two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The service maintains a waiting list for potential residents.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challenging behaviours and depression scale), to identify any deficits and to inform care planning. The sample of lifestyle plans reviewed had an integrated range of resident-related information. All residents have current interRAI assessments completed.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lifestyle plans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lifestyle plans evidenced service integration with progress notes, activities notes, with medical and allied health professionals’ notations clearly written, informative and relevant. Any change in care required is documented and verbally passed on to relevant staff. Residents and families reported participation in the development and ongoing evaluation of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their plan of care. The attention to meeting a diverse range of resident’s individualised needs was evident in all areas of service provision. The staff interviewed verified that medical input is sought in a timely manner, and supporting the resident is based on the resident’s individual needs and capabilities. Care staff confirmed that care was provided as outlined in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planned activities, the resident is encouraged to participate in meaningful activities throughout the day and night. The activities programme is provided by an activities coordinator, with input from other staff, volunteers and residents assisting with the planned and spontaneous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Individual, group activities and regular events are offered. Residents and families/whānau are involved in evaluating and improving the programme through residents’ meetings and satisfaction surveys. Residents interviewed confirmed they find the activities meaningful to themselves.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living in Memory Lane are specific to the needs and abilities of the people living there. Activities are offered at times when residents are most physically active and/or restless. As part of the normalisation philosophy at the service, many activities include both rest home and residents living in Memory Lane.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wounds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necessary, and for unresolved problems, long term care plans are added to and updated. Residents and families/whānau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Residents may choose which medical practitioner they use. If the need for other non-urgent services are indicated or requested, the GP or RN sends a referral to seek specialist input. Copies of referrals were sighted in residents’ files, including to oncology and general surgery. The resident and the family/whānau are kept informed of the referral process, as verified by documentation and interviews. Any acute/urgent referrals are attended to immediately, such as sending the resident to accident and emergency in an ambulance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02 August 2017)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management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maintenance book which showed any maintenance requests made were actioned promptly. This was confirmed during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There are appropriate secure outdoor areas for residents in the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separate staff and visitor toilet facilities. Appropriately secured and approved handrails are provided in the toilet/shower areas, and other equipment/accessories are available to promote residents’ independence.  The bathrooms have been updated and an additional bathroom installed in the secure dementia care wing as part of the increase of two beds in this wing.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At the time of audit, all bedrooms were single occupancy. Management confirmed that the double bedroom in the secure dementia care unit and three double bedrooms in the rest home will only be used with consent of the residents and/or family. Rooms are personalised with furnishings, photos and other personal items displayed. As part of the refurbishment process, residents were asked to choose their own bedroom wallpaper.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bedrooms which have been converted from rest home to secure dementia care occurred by moving the locked door from one existing wall to another wall. It is a natural continuation of the existing secure dementia unit. No changes were required to the fire evacuation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Activities were sighted in both lounge areas at the time of audit   The dining and lounge areas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 lounge/dining area in the rest home has been reconfigured to accommodate the use of the two existing bedrooms to become part of the secure dementia care unit. It remains spacious enough to cater for 14 rest home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lounge/dining area in the secure dementia care unit is open plan and caters for up to 14 dementia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area as part of the care staff duties. Care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is undertaken as part of the care staff daily duties. Management stated this is currently under review and a letter sighted explaining the proposed process had been sent to all staff. Staff education related to safe chemical handling is undertaken by the off-site chemical provider, last presented in March 2017. Chemicals were stored in secure areas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and resident and family feedback.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02 March 1988 and there have been no changes to the building footprint since this time. Management confirmed they checked with the fire service about the need to update the evacuation plan related to the secure dementia care unit and no changes were required. A trial evacuation takes place six-monthly with a copy sent to the New Zealand Fire Service, the most recent being on 10 April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28 residents.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responded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Doors and windows are locked at a predetermined time by staff on duty. The external doors in the secure dementia care unit are alarmed during the night only to alert staff if a resident goes outside.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by ceiling mounted electric heaters controlled by a thermostat.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current infection control manual, with input from external specialists. The infection control programme and manual are reviewed annually as part of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designated IPC coordinator, whose role and responsibilities are defined in a job description. Infection control matters, including surveillance results and key performance indicators are reported monthly to the director, and tabled at the quality meeting. This committee includes representatives from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provides guidance for staff about how long they must stay away from work if they have been unwell. Staff interviewed understood these responsibilities. Vaccination is encouraged for staff and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has appropriate skills, knowledge and qualifications for the role. They have attended specific education related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Additional support and information is accessed from the infection control team at the DHB,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The policies and procedures are developed by an infection prevention and control consultancy agency. Policies were last reviewed in 2017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the IPC coordinator and external specialists. Content of the training is documented and evaluated to ensure it is relevant, current and understood. A record of attendance is maintained. When an infection outbreak or an increase in infection incidence has occurred, there was evidence that additional staff education has been provided in response. For example, when an increase in infections occurred, additional education was conducted on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and has included subjects such as encouraging fluids, reminders about handwashing, and advice about remaining in their room if they are unwell.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infections of the urinary tract, soft tissue, fungal, eye, gastro-intestinal, the upper and lower respiratory tract and scabies. The IPC coordinator reviews all reported infections and these were documented. New infections and any required management plan are discussed at handover, to ensure early intervention occurs, with short term care plans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Data is benchmarked against recognised guides for aged care. Where there has been an increase in infections, corrective actions are implemented.  An example of this was when there was an increase in urinary tract infections, and a corrective action plan was implemented. No infections were recorded in the subsequent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(RN) stated they would provide support and oversight for enabler and restraint management should it be used. They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 facility was restraint and enabler free. The last use of any form of restraint shown in the restraint register occurred in 2015. Policy states that enablers should be the least restrictive and used voluntarily at the request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management stated that restraint would only be used as a last resort when all alternatives have been explored. Staff education and a questionnaire related to safe restraint use was completed by 16 clinical staff in May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6579"/>
        <w:gridCol w:w="2026"/>
        <w:gridCol w:w="20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orientation/induction programme documented which covers the essential components of the service provided. Most staff interviewed confirmed their orientation/induction period prepared them for the roles they undertake. Two staff stated that they had a very short orientation which only covered emergency procedures and then they were counted as a rostered staff member. Both staff had worked in the health care arena previously and were experienced caregivers. They stated that they were able to undertake their roles safely and they were ‘buddied’ with another experienced caregiver.  Incomplete sign off of staff orientation documentation supports the staff interview findings.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new service providers have their orientation/induction completed. Six of seven staff files reviewed had incomplete documentation to show that orientation had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all new staff have completed the orientation/induction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had several forms related to bowel and pain management that were not fully completed. There was inconsistent terminology and abbreviations used in the forms and progress notes. There was an inconsistent use of, and unclear definition of the pain scales that are recorded in the residents’ progress notes. Some of the forms related to medication management interventions and fridge temperature records were not fully completed. All progress notes sampled contained the date, time and name/signature of the person making the entry, though one staff member consistently did not write their designation. In six of the seven staff files sampled the recruitment, orientation and training records was not fully completed (also refer to 1.2.7.4).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Forms related to resident care/interventions, environment recordings and staff orientation records were incomplete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information is entered consistently and accurately into records.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5667"/>
        <w:gridCol w:w="56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Rest Home and Memory Care has been recognised at the national level for the implementation of Hogeweyk, a resident centred social approach to service delivery. The design, decoration and daily living activities inside and outside the home are tailored to create a familiar and normal lifestyle for the residents. The residents are encouraged with their independence and participation in activities that they have normally participated in. This has resulted in the reduction of challenging behaviours, with the residents being supported to attend previous community activities (such as volunteer work, clubs and external exercise programmes). The service has also evidenced that with the reduction in challenging behaviours, the partners and families of the residents could engage in more frequent and meaningful relationships. The families and staff also reported increases in resident happiness and self-worth, with the residents participating in activities that they have previously enjoyed, such as mowing lawns, mechanical repairs, gardening, looking after animals and daily household duties. This participation is decreasing the number and severity of challenging behaviours that the residents had previously exhibited.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Several individual examples were evidenced on how residents that were at increased risk of admission to higher care psychogeriatric care could be effectively cared for at Brooklands. Brooklands is continuing to report positive outcomes for residents with dementia, their family/whānau and staff through the implementation of their model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implementing the organisational philosophy of dementia care, in both the memory care unit and the rest home, is rated beyond the expected full attainment. The service’s approach and philosophy is gaining positive results in the reduction of challenging behaviours and increasing ‘normal’ community and family participation with the residents. The service has conducted a continuous quality improvement plan since the opening of the memory care unit with improvements in the education programme, increased staff knowledge, and confidence and skill in assisting residents with their independence and community/family participation. With the model of care and philosophy implemented at the service, the projects have a documented review process which includes the analysis and reporting of findings. Improvements in individual resident reduction in challenging behaviours, participation in ‘normal’ activities of daily living and increased connection with family and community have been measured as part of the care evaluation processes. The overall quality improvement project includes documenting that positive outcomes have been measured through staff, resident and relative satisfaction surveys.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Dementia Specialists Limited - Brooklands Rest Home</w:t>
    </w:r>
    <w:bookmarkEnd w:id="58"/>
    <w:r>
      <w:rPr>
        <w:rFonts w:cs="Arial"/>
        <w:sz w:val="16"/>
        <w:szCs w:val="20"/>
      </w:rPr>
      <w:tab/>
      <w:t xml:space="preserve">Date of Audit: </w:t>
    </w:r>
    <w:bookmarkStart w:id="59" w:name="AuditStartDate1"/>
    <w:r>
      <w:rPr>
        <w:rFonts w:cs="Arial"/>
        <w:sz w:val="16"/>
        <w:szCs w:val="20"/>
      </w:rPr>
      <w:t>15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