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Whitehaven Healthcare Limited - Glendale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Whitehaven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Glendale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May 2017</w:t>
      </w:r>
      <w:bookmarkEnd w:id="7"/>
      <w:r w:rsidRPr="009418D4">
        <w:rPr>
          <w:rFonts w:cs="Arial"/>
        </w:rPr>
        <w:tab/>
        <w:t xml:space="preserve">End date: </w:t>
      </w:r>
      <w:bookmarkStart w:id="8" w:name="AuditEndDate"/>
      <w:r w:rsidR="00A4268A">
        <w:rPr>
          <w:rFonts w:cs="Arial"/>
        </w:rPr>
        <w:t>24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Glendale Retirement Home (Glendale) provides care for up to 33 residents at rest home level care.  On the day of audit, there were thirty two residents including two younger persons under long-term chronic health condition contracts.  There were no respite residents.  </w:t>
      </w:r>
    </w:p>
    <w:p w:rsidRPr="00A4268A">
      <w:pPr>
        <w:spacing w:before="240" w:line="276" w:lineRule="auto"/>
        <w:rPr>
          <w:rFonts w:eastAsia="Calibri"/>
        </w:rPr>
      </w:pPr>
      <w:r w:rsidRPr="00A4268A">
        <w:rPr>
          <w:rFonts w:eastAsia="Calibri"/>
        </w:rPr>
        <w:t xml:space="preserve">Glendale has a business quality and risk management plan.  Goals and objectives of the business are identified and reviewed annually.  The manager has a long history with Glendale – having been a previous owner.  The manager has been in this role since February 2015.  The manager is supported by two registered nurses.  </w:t>
      </w:r>
    </w:p>
    <w:p w:rsidRPr="00A4268A">
      <w:pPr>
        <w:spacing w:before="240" w:line="276" w:lineRule="auto"/>
        <w:rPr>
          <w:rFonts w:eastAsia="Calibri"/>
        </w:rPr>
      </w:pPr>
      <w:r w:rsidRPr="00A4268A">
        <w:rPr>
          <w:rFonts w:eastAsia="Calibri"/>
        </w:rPr>
        <w:t>This unannounced surveillance audit was conducted against the relevant Health and Disability Standards and contract with the district health board.  The audit processes included the review of policies and procedures, the review of staff and resident’s files, observations and interviews with residents, family members, management, contracted general practitioner and staff.</w:t>
      </w:r>
    </w:p>
    <w:p w:rsidRPr="00A4268A">
      <w:pPr>
        <w:spacing w:before="240" w:line="276" w:lineRule="auto"/>
        <w:rPr>
          <w:rFonts w:eastAsia="Calibri"/>
        </w:rPr>
      </w:pPr>
      <w:r w:rsidRPr="00A4268A">
        <w:rPr>
          <w:rFonts w:eastAsia="Calibri"/>
        </w:rPr>
        <w:t xml:space="preserve">The service has addressed the one finding from their previous audit around the approved evacuation scheme. </w:t>
      </w:r>
    </w:p>
    <w:p w:rsidRPr="00A4268A">
      <w:pPr>
        <w:spacing w:before="240" w:line="276" w:lineRule="auto"/>
        <w:rPr>
          <w:rFonts w:eastAsia="Calibri"/>
        </w:rPr>
      </w:pPr>
      <w:r w:rsidRPr="00A4268A">
        <w:rPr>
          <w:rFonts w:eastAsia="Calibri"/>
        </w:rPr>
        <w:t xml:space="preserve">There were no shortfalls identified at this audit. </w:t>
      </w:r>
    </w:p>
    <w:p w:rsidRPr="00A4268A">
      <w:pPr>
        <w:spacing w:before="240" w:line="276" w:lineRule="auto"/>
        <w:rPr>
          <w:rFonts w:eastAsia="Calibri"/>
        </w:rPr>
      </w:pPr>
      <w:r w:rsidRPr="00A4268A">
        <w:rPr>
          <w:rFonts w:eastAsia="Calibri"/>
        </w:rPr>
        <w:t>One continuous improvement rating around the activities programme has been achieved.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disclosure principles are implemented.  Complaints processes are communicated to residents and families and the complaint register is up to date.  Complaints management system complies with the Code.  There have been no documented complaints since August 2015.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Glendale continues to implement their quality and risk management system.  An annual review of the quality programme and incident and accidents reports is completed and the outcome communicated to staff.  Quality data is benchmarked by an external provider with similar size organisations.  </w:t>
      </w:r>
    </w:p>
    <w:p w:rsidRPr="00A4268A">
      <w:pPr>
        <w:spacing w:before="240" w:line="276" w:lineRule="auto"/>
        <w:rPr>
          <w:rFonts w:eastAsia="Calibri"/>
        </w:rPr>
      </w:pPr>
      <w:r w:rsidRPr="00A4268A">
        <w:rPr>
          <w:rFonts w:eastAsia="Calibri"/>
        </w:rPr>
        <w:t xml:space="preserve">Health and safety policies and procedures are implemented.  The hazards and risk register was reviewed in 2017.  Health and safety issues are discussed both at health and safety meetings and staff/quality meetings.  There are procedures to guide staff in managing clinical and non-clinical emergencies and a registered nurse is on call at all times. </w:t>
      </w:r>
    </w:p>
    <w:p w:rsidRPr="00A4268A">
      <w:pPr>
        <w:spacing w:before="240" w:line="276" w:lineRule="auto"/>
        <w:rPr>
          <w:rFonts w:eastAsia="Calibri"/>
        </w:rPr>
      </w:pPr>
      <w:r w:rsidRPr="00A4268A">
        <w:rPr>
          <w:rFonts w:eastAsia="Calibri"/>
        </w:rPr>
        <w:t>Annual resident and relative surveys are conducted annually with the most recent during 2016.  Corrective actions and quality improvements have been implemented and communicated to families.</w:t>
      </w:r>
    </w:p>
    <w:p w:rsidRPr="00A4268A">
      <w:pPr>
        <w:spacing w:before="240" w:line="276" w:lineRule="auto"/>
        <w:rPr>
          <w:rFonts w:eastAsia="Calibri"/>
        </w:rPr>
      </w:pPr>
      <w:r w:rsidRPr="00A4268A">
        <w:rPr>
          <w:rFonts w:eastAsia="Calibri"/>
        </w:rPr>
        <w:t xml:space="preserve">There are human resources management processes in place and annual performance appraisals are completed.  New staff receive an orientation programme prior to their commencement of care to residents.  A staff education programme is implemented. </w:t>
      </w:r>
    </w:p>
    <w:p w:rsidRPr="00A4268A">
      <w:pPr>
        <w:spacing w:before="240" w:line="276" w:lineRule="auto"/>
        <w:rPr>
          <w:rFonts w:eastAsia="Calibri"/>
        </w:rPr>
      </w:pPr>
      <w:r w:rsidRPr="00A4268A">
        <w:rPr>
          <w:rFonts w:eastAsia="Calibri"/>
        </w:rPr>
        <w:t>Staffing levels and skill mix are appropriate for the service level to provide safe service delivery.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 registered nurse is responsible for each stage of service provision.  The registered nurse assesses and reviews residents' needs, outcomes and goals with the resident and/or family/whānau.  Care plans viewed in resident records demonstrate service integration.  Resident files include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diversional therapist provides a varied and interesting activities programme for the residents.  </w:t>
      </w:r>
    </w:p>
    <w:p w:rsidRPr="00A4268A" w:rsidP="00621629">
      <w:pPr>
        <w:spacing w:before="240" w:line="276" w:lineRule="auto"/>
        <w:rPr>
          <w:rFonts w:eastAsia="Calibri"/>
        </w:rPr>
      </w:pPr>
      <w:r w:rsidRPr="00A4268A">
        <w:rPr>
          <w:rFonts w:eastAsia="Calibri"/>
        </w:rPr>
        <w:t xml:space="preserve">Medication policies comply with legislative requirements and guidelines.  Staff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on-site.  Food, fridge and freezer temperatures are recorded.  Individual and special dietary needs are catered for.  Residents and family/whānau interviewed responded favourably to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 fire evacuation scheme has been updated.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4"/>
        <w:gridCol w:w="1280"/>
        <w:gridCol w:w="9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management system complies with the Code.  A complaints register is maintained and there are no documented complaints since August 2015.  The complaint process is discussed with the residents and their families at the time of entry to the home.  Residents and families interviewed confirm they are aware of who to make a complaint to if required.  Staff have training on advocacy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complaint related to resident’s privacy, dignity and independence, including early morning showers.  There were no identified issues in respect of this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four care plans reviewed, there was evidence of preferred time of personal cares before breakfast and two files preferred time was around 5.30 am and 6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residents, and staff interviews confirmed that staffing levels are sufficient to carry out their duties and RNs are available to support staff if they require further assistance.  Staff interviewed were knowledgeable around elder abuse, negligence and the Code of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three residents confirmed that they have a choice of what to do with their day and have a right to refuse if they don’t want to receive care and support in certain times.  Interviews with residents and family members did not identify issues around the time of personal cares.  Three residents and four family members who may have been affected by this issue interviewed confirmed satisfaction with this area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forms were reviewed.  The forms include a section to record family notification.  All forms reviewed document that family have been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residents and relatives’ satisfaction survey was undertaken during 2016 and an individual response given to residents and family members.  Residents and family interviewed confirm open disclosure principles are implemented.  Family are consulted and informed of incidents and accidents or a change in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open disclosure is provided and included as part of the consumer rights training.  Staff confirm their understanding of open disclosure.  Communication with relatives is documented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and offered to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Glendale Retirement Home provides care for up to 33 residents at rest home level of care.  On the day of audit there were 32 residents which included two residents under the long-term chronic health condition contracts.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has a business quality and risk management plan.  Goals and objectives of the business are identified and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 long history with Glendale – having been a previous owner.  The manager has been in the role since February 2015.  The manager is supported by two experienced registered nurses (RNs).  The RN hours have been increased from 30 hours to 46 hours a week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manager maintains weekly contacts with the owner and two-monthly reporting includes: quality activities; finance; occupancy data; and other business related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continues to implement its quality and risk management system.  Annual review of quality programme and incidents and accidents have been completed and outcomes of these communicated to staff.  Quality data is benchmarked by an external provider with similar size organisations.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(two RNs, three caregivers, one diversional therapist (DT) and one cook) and review of meeting minutes, demonstrates staff involvement in quality and risk activities.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implemented.  The hazards and risk register was reviewed in 2017.  Health and safety issues are discussed at both health and safety meetings and staff/quality meetings.  There are procedures to guide staff in managing clinical and non-clinical emergencies and a RN is on call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Fall prevention strategies are in place that include the analysis of falls incidents and the identification of interventions on a case-by-case basis to minimise future falls.  Corrective actions around falls prevention are implemented.  Pressure injury preventions are also discussed with staff and training has been provided around pressure injury prevention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and risk management system.  The internal audit programme is implemented.  If an audit identifies shortfalls, required corrective actions are implemented and are signed off in a timely manner.  A monthly summary of internal audit outcomes is provided to the staff through staff meetings for discussion.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up to date including health and safety policies which have been reviewed to reflect the current changes in work place safety.  Policies and procedures are discussed at the monthly staff meetings and staff who were unable to attend meetings, are required to read them and sign them off as read.  Staff interviews confirms that staff are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accident/incident, health and safety and infection control data.  Monthly comparisons, trends, graphs and benchmarking data are displayed for staff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have been conducted for 2016.  The outcome of the survey has been fed back to participants and staff as evidenced in meeting minutes.  An individual response was given to residents and family members, including corrective actions and quality improvements, if participants identified themselves on the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recorded by staff, follow up is completed by RNs and signed off by the manager.  Incident and accidents to both staff and residents are reported.  Feedback is provided through the staff/quality meetings and health and safety meetings.  An incident and accident register is maintained and benchmarked through an external benchmarking provider.  Annual review of incident and accidents are completed which includes any corrective action to minimise risks or prevent the incident from recurring.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are also recorded in the resident progress notes.  RNs are notified of incidents that occurred after hours and required follow up is noted in the resident’s notes.  There is documented evidence the family have been notified promptly of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Six staff files were reviewed (two RNs, three caregivers and one cook).  They all included: an orientation, training records and competencies.  Annual performance appraisals have been completed in five out of six files reviewed and one was not due. </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RNs, general practitioners (GPs), podiatrist, pharmacist and a clinical nurse practitioners’ practising certificates are kept within the facility indicating that all relevant providers have a current practicing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has an orientation/induction programme that provides new staff with relevant information for safe work practice.  Three caregivers interviewed confirm that an appropriate orientation programme is implemented, including being buddied by another caregiver and review of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training programme is implemented and it exceeds eight hours annually.  One of the RNs provides internal training to staff along with external experts.  The RN has completed wound care training and e-learning around infection control.  The manager confirms there is nurse practitioner and nurse specialists input from the local DHB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 provides sufficient staffing covering for the provision of care and service to residents.  There are two RNs.  One works 30 hours a week and she is an interRAI competent RN.  The second RN was employed in December 2016 for 16 hours a week.  She is an experienced aged care RN.  These two RNs share on call duties.  The manager is on-site full-time and available after hours.  The manager has 24 years of experience in managing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are rostered as follows: AM – two full shifts and one from 7 am-1 pm; PM- two full shifts and one tea assistant from 4 pm-7 pm; night- two caregivers.  Cook works 8 am-2 pm and cleaner works 9.30 am -1.30 pm.  There is an enrolled nurse (not maintaining her registration) who works 16 hours a week in rotating schedule where needs arise and she also supports one of the RNs when she is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six residents and four family members interviewed confirmed that sufficient staff are rostered for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early morning showers.  There were no identified issues related to staffing in respect of this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meets recognised standards and guidelines for safe medicine management.  Twelve medication charts were reviewed.  All residents have individual medication charts with photo identification, allergy status documented and meet legislative prescribing requirements.  The service uses a four-weekly blister pack system for tablets.  All medicine is stored securely when not in use.  A reconciliation check is completed by the RN against the resident’s medicine order, when new medicines are supplied from the pharmacy.  Medication orders include indications for use of ‘as needed’ medicines.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(RNs and senior caregivers under supervision of an RN) who administer medications have been assessed for competency on a yearly for RNs and six-monthly for senior caregivers.  Education around safe medication administration has been provided.  One caregiver was observed to be administering medications and followed correct procedure.  Staff interviewed described their role in regard to medicine administration.  Standing orders are not used.  There was one resident self-medicating on the day of audit.  All the necessary self-medication assessments and consents have been completed.  Residents/relatives interviewed state they are kept informed of any changes to their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charts reviewed identify that the GP has seen and reviewed the resident’s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Glendale are prepared and cooked on-site in a fully equipped kitchen.  There is a five-weekly seasonal menu which has been reviewed and approved by a dietitian.  Meals are delivered to the dining area for serving.  A tray service is available upon request.  Dietary needs are known with individual likes and dislikes accommodated.  Pureed, gluten free and diabetic desserts are provided.  Cultural and religious food preferences are met.  A food services manual is available to ensure that all stages of food delivery to residents comply with standards,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Supplements and high protein snacks and drinks are provided to residents with identified weight loss.  Resident meetings and surveys allow for the opportunity for resident feedback on the meals and food services generally.  Residents and family members interviewed are satisfied with the meals and confirm that alternative food choices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Food is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working in the kitchen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short-term care plans have been commenced with a change in heath condition and linked to the long-term care plan.  Long-term care plans have been reviewed six-monthly.  The interRAI assessment process informs the development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Resident files include a urinary continence assessment, bowel management and continence products identified.  The RN was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falls risk assessment is completed on admission and reviewed at least six-monthly or earlier, should there be an increased falls risk.  A physiotherapist referral to the community physiotherapy service can be initiated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pharmacologist from the local PHO supports the GP and Glendale around polypharmacy and drug interactions.  The GP gave examples and discussed several learnings and improvements in medicine prescribing.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(DT) typically works a minimum of 30 hours per week Monday to Friday.  DT hours are flexible and allow for attendance at organisation of special events at weekends and evenings, according to resident wishes.  Volunteers and caregivers assist with individual and group activities during the week and on weekends.  One volunteer runs a male focus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provides individual and group activities that are meaningful and reflect ordinary patterns of life.  The monthly programme includes: crafts, van outings, church services, games, gardening and happy hour.  Recently four residents went out to see a film and twenty-five residents are going on a train trip.  A group of residents attend exercise classes and groups in the local community.  On the day of audit, residents were observed participating in a variety of activities.  One-on-one activities are provided for residents who are unable or choose not to be involved in group activities.  There was evidence of one resident who initially did not participate in activities who now participates and is leading an art project in the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is responsible for the resident’s individual activity care plans which are developed within the first three weeks of admission.  The resident and family/whānau are involved in the development of the activity plan.  Resident files reviewed identify that the individual activity plan is reviewed six-monthly and evidence outcomes achieved against goals set.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and are mostly driven by resident requests.  Residents provide feedback individually and make suggestions for activities at the resident meetings and via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Glendale demonstrates continuous improvement in delivery of their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sampled, initial care plans have been evaluated by RNs within three weeks of admission.  The long-term care plans are evaluated at least six-monthly or earlier if there is a change in health condition.  There was at least a three-monthly review by the GP.  All changes in health status are documented and followed up.  Short-term care plans have been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14 December 2017).  Reactive and preventative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last fire evacuation drill was completed 16 August 2016.  Glendale has an up-to-date fire approval scheme dated 16 August 2016.  The previous shortfall around all areas having a fire evacuation approval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Outbreak management was discussed with both RNs, including notification protocol to the Public Health Authorities.  Both RNs were up to date with current expectations from the Public Health Authorities.  Staff receive ongoing training and support and RNs ensures that infections are prevented and managed both for staff and residents.  Visitors are encouraged to not visit when they are unwell and to use hand sanitisers.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is practiced.  The registered nurse oversees the restraint process within the facility.  There are policies around restraint, enablers and the management of residents who may exhibit behaviours that challenge.  The service currently has no residents using enablers or restraints.  Any resident requiring restraint or who exhibited behaviours that may challenge, would be reassessed to determine their suitability to continue to reside in the rest home.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215"/>
        <w:gridCol w:w="8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where resident choice is paramount and underpins the activity programme.  There is evidence of increased satisfaction with the activities programme offered.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on-site for a minimum of 30 hours per week.  She is flexible with her hours and covers weekends and evening activities.  She has implemented a range of activities at resident’s request.  A focus has been on supporting residents to maintain and grow their interests and be involved with their local community.  The DT coordinates an activities programme which provides individual and group activities that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support with organisation and attendance at activities over and above the normal programme offered.  There are van outings at least twice a week of resident choice.  School groups, local choir and church groups visit.  One volunteer runs a male focus group and two residents have contributed to a project to support animals (chickens, ducks and guinea pigs).  Two residents have taken on the responsibility of looking after the animals and report great satisfaction by doing this.  One resident interviewed attends the gardens and reports how happy they are to be able to provide a colourful garden for other residents to enjoy.  Recently four residents went out to see a film and twenty-five residents were participating in a train trip and pizza.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interests they had prior to admission and some residents attend exercise classes and groups in the local community.  There was evidence of one resident who initially did not participate in activities, now participates and is heading an art project in the home.  A ladies’ knitting group knit blankets that are sent to charities of resident’s choice.  One of the male resident’s who used to hold the wool for his wife, continues to do this in the knitting group.</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Whitehaven Healthcare Limited - Glendale Retirement Home</w:t>
    </w:r>
    <w:bookmarkEnd w:id="58"/>
    <w:r>
      <w:rPr>
        <w:rFonts w:cs="Arial"/>
        <w:sz w:val="16"/>
        <w:szCs w:val="20"/>
      </w:rPr>
      <w:tab/>
      <w:t xml:space="preserve">Date of Audit: </w:t>
    </w:r>
    <w:bookmarkStart w:id="59" w:name="AuditStartDate1"/>
    <w:r>
      <w:rPr>
        <w:rFonts w:cs="Arial"/>
        <w:sz w:val="16"/>
        <w:szCs w:val="20"/>
      </w:rPr>
      <w:t>24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