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Devonport Palms Retirement Limited - Devonport Palms Retirement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Devonport Palms Retirement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Devonport Palms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May 2017</w:t>
      </w:r>
      <w:bookmarkEnd w:id="7"/>
      <w:r w:rsidRPr="009418D4">
        <w:rPr>
          <w:rFonts w:cs="Arial"/>
        </w:rPr>
        <w:tab/>
        <w:t xml:space="preserve">End date: </w:t>
      </w:r>
      <w:bookmarkStart w:id="8" w:name="AuditEndDate"/>
      <w:r w:rsidR="00A4268A">
        <w:rPr>
          <w:rFonts w:cs="Arial"/>
        </w:rPr>
        <w:t>16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29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Devonport Palms provides rest home level care for up to 30 residents.  There were 29 residents on the day of the audit.  The service is managed by a facility manager (non-clinical) who is also the owner.  The owner/manager is a member of the Cavell Group, which provides strategic governance and support to the service.  The manager is support by a clinical manager/registered nurse.  The residents and relatives interviewed are positive about the care and supports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not yet completely addressed the two shortfalls from the previous certification audit around care plan documentation and medication management. </w:t>
      </w:r>
    </w:p>
    <w:p w:rsidRPr="00A4268A">
      <w:pPr>
        <w:spacing w:before="240" w:line="276" w:lineRule="auto"/>
        <w:rPr>
          <w:rFonts w:eastAsia="Calibri"/>
        </w:rPr>
      </w:pPr>
      <w:r w:rsidRPr="00A4268A">
        <w:rPr>
          <w:rFonts w:eastAsia="Calibri"/>
        </w:rPr>
        <w:t xml:space="preserve">This surveillance audit identified that improvements are required in relation to care interventions, activities, maintenance and trial evacuations.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 that they are kept informed.  Residents and their family/whānau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process being implemented includes an internal audit programme, monitoring adverse events and a health and safety programme that includes hazard management.  Quality and risk information is reported at staff meetings.  Residents and family are provided with the opportunity to feedback on issues during resident meetings and via annual satisfaction surveys.  </w:t>
      </w:r>
    </w:p>
    <w:p w:rsidRPr="00A4268A">
      <w:pPr>
        <w:spacing w:before="240" w:line="276" w:lineRule="auto"/>
        <w:rPr>
          <w:rFonts w:eastAsia="Calibri"/>
        </w:rPr>
      </w:pPr>
      <w:r w:rsidRPr="00A4268A">
        <w:rPr>
          <w:rFonts w:eastAsia="Calibri"/>
        </w:rPr>
        <w:t xml:space="preserve">Human resources are managed in accordance with good employment practice and meet legislative requirements.  An orientation programme is in place for new staff.  An education and training programme is provided.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Caregivers, residents and family members report staffing levels are sufficient to meet residents’ needs.  The clinical manager is the registered nurse and covers on call when not on-site.  There are adequate numbers of staff on duty to ensure residents are safe.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receive an information pack on admission.  The registered nurse completes admission assessments using the interRAI assessment tool.  Care plans are developed in consultation with the resident and/or family input.  Care plans demonstrate allied health input into the care of the resident.  Care plans are reviewed at least six-monthly. </w:t>
      </w:r>
    </w:p>
    <w:p w:rsidRPr="00A4268A" w:rsidP="00621629">
      <w:pPr>
        <w:spacing w:before="240" w:line="276" w:lineRule="auto"/>
        <w:rPr>
          <w:rFonts w:eastAsia="Calibri"/>
        </w:rPr>
      </w:pPr>
      <w:r w:rsidRPr="00A4268A">
        <w:rPr>
          <w:rFonts w:eastAsia="Calibri"/>
        </w:rPr>
        <w:t xml:space="preserve">Medication policies reflect legislative medicine requirements and guidelines.  All staff responsible for administration of medicines complete education and medicine competencies.  </w:t>
      </w:r>
    </w:p>
    <w:p w:rsidRPr="00A4268A" w:rsidP="00621629">
      <w:pPr>
        <w:spacing w:before="240" w:line="276" w:lineRule="auto"/>
        <w:rPr>
          <w:rFonts w:eastAsia="Calibri"/>
        </w:rPr>
      </w:pPr>
      <w:r w:rsidRPr="00A4268A">
        <w:rPr>
          <w:rFonts w:eastAsia="Calibri"/>
        </w:rPr>
        <w:t xml:space="preserve">An activities programme is in place.  The programme includes outings, entertainment and activities that meet the recreational preferences and abilities of the residents.  Residents expressed satisfaction with the activities provided. </w:t>
      </w:r>
    </w:p>
    <w:p w:rsidRPr="00A4268A" w:rsidP="00621629">
      <w:pPr>
        <w:spacing w:before="240" w:line="276" w:lineRule="auto"/>
        <w:rPr>
          <w:rFonts w:eastAsia="Calibri"/>
        </w:rPr>
      </w:pPr>
      <w:r w:rsidRPr="00A4268A">
        <w:rPr>
          <w:rFonts w:eastAsia="Calibri"/>
        </w:rPr>
        <w:t xml:space="preserve">All food is prepared on-site.  Residents’ nutritional needs are identified and documented.  Alternative choices are available for dislikes.  Meals are well presented.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(21 January 2018).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are clear guidelines in policy, which include documented definitions of restraints and enablers that align with the definitions in the standard.  There are currently no residents requiring enablers or restraints.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2"/>
        <w:gridCol w:w="1280"/>
        <w:gridCol w:w="96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management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Interviews with six residents and two family members confirms that they understand the complaints process.  They also confirm that the facility manager and clinical manager are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lodged with the Health and Disability Commission in 2016 which is still under investigation.  There have been no complaints in 2017 (year to date).  The complaints register includes all information and correspondence related to the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Ten accident/incident forms reviewed all document evidence of open disclosure.  Family are kept informed of any accident/incident unless the resident has consented otherwise.  Interviews with the clinical manager confirms family are notified following changes in health status.  Family interviewed state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resident meetings provide a forum for residents to discuss issues or concerns on every aspect of the service.  Access to interpreter services are available if needed although have not been required.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owned and managed by a member of the Cavell Group.  The Cavell Group is comprised of a group of independent aged care providers who share policies and provide collegial support while maintaining their independent businesses.  A mission and philosophy of care are defined for the service.</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29 rest home level residents living in this 30-bed facility that is dedicated to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A strategic plan is in place for the Cavell Group.  A quality plan that is specific to Devonport Palms links to the Cavell strategic plan and lists annual goals and objectives.  These are regularly reviewed by the facility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manager/owner has a background in management and is non-clinical.  He keeps up to date with the aged care sector through regular attendance at Cavell Group director meetings and New Zealand Aged Care Provider forums.  His professional development relating to the management of an aged care service exceeds eight hours per year.  He is supported by an experienced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two caregivers, one cook and one activities coordinator reflects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as evidenced in meeting minutes and discussions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Quality data is regularly communicated to staff via staff meetings and at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Areas of non-compliance include the initiation of corrective action plans with corrective actions signed off to evidence their implementation.  Staff interviewed confirmed that the results of audits and corrective actions are discussed at staff meetings and at handovers.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(facility manager) and review of health and safety documentation confirmed that legislative requirements are being met.  The hazard register is regularly reviewed (last review February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to minimise future falls.  Falls risk assessments are in place.  A physiotherapist is available on an as-needed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who either witnessed an adverse event or were the first to respond.  The resident is reviewed by the clinical manager or after hours by the senior care staff at the time of the event.  Ten incident forms were reviewed.  Not all required monitoring following an unwitnessed fall, had been documented (link 1.3.6.1).  The five residents’ files reviewed demonstrate that accident/incidents are also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manager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clinical manager’s practising certificate is current.  All five staff files randomly selected for review (clinical manager, caregiver, cook, activities coordinator and a cleaner) have relevant documentation relating to employment.  Annual performance appraisals are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  Staff are able to describe the orientation process and report that new staff are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being implemented that includes competencies that must be completed by staff.  The clinical leader has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member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full-time clinical manager/RN and the facility manager/owner (non-clinical) are on-site Monday to Friday.  The clinical manager is available on call after hours.  If the clinical manager is on leave, RN cover is provided by other facilities in Tauranga from within the Cavell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 morning shift, there is one team leader and a caregiver.  On an afternoon shift, there are two caregivers (one long and one short) and on a night shift, there is one caregiver.  </w:t>
            </w:r>
          </w:p>
          <w:p w:rsidR="00EB7645" w:rsidRPr="00BE00C7" w:rsidP="00BE00C7">
            <w:pPr>
              <w:pStyle w:val="OutcomeDescription"/>
              <w:spacing w:before="120" w:after="120"/>
              <w:rPr>
                <w:rFonts w:cs="Arial"/>
                <w:b w:val="0"/>
                <w:lang w:eastAsia="en-NZ"/>
              </w:rPr>
            </w:pPr>
            <w:r w:rsidRPr="00BE00C7">
              <w:rPr>
                <w:rFonts w:cs="Arial"/>
                <w:b w:val="0"/>
                <w:lang w:eastAsia="en-NZ"/>
              </w:rPr>
              <w:t>Caregiving staff are responsible for laundry.  Cleaning staff work five days a week.  An activities coordinator is rostered on 0900 to 1530,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staffing levels and the skill mix are appropriate and safe.  Residents and family interviewed advise that they feel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There are policies available for safe medicine management that meet legislative requirements.  All medication charts sampled meet legislative prescribing requirements.  The medication charts reviewed identify that the GP has reviewed all resident’s medication three-monthly and all allergies are noted.  Residents who are prescribed dietary supplements have these correctly prescribed by the GP and staff sign for these as they are administered.  The previous finding related to the signing for the administration of dietary supplements has been met.  The service advises that they are implementing an electronic medication management system in the coming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described their role regarding medication administration.  The service currently uses robotic packed medications.  All medications are checked on delivery against the medication chart and any discrepancies are fed back to the supplying pharmacy.  Not all eye mediation is use is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in use does not comply with the Standing Orders Guidelines 2016.  Not all medication checks are documented.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is within the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Devonport Palms are prepared and cooked on-site.  There is a four-weekly seasonal menu which had been reviewed by a dietitian.  Meals are plated in the kitchen and delivered to the dining area.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are satisfied with the food and confirm alternative food choices are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End cooked food temperatures are recorded.  The dishwasher is checked regularly by the chemical supplier.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care plan template that is individualised to meet the residents assessed care needs.  In the files sampled, interRAI assessment outcomes and other relevant nursing assessment outcomes were not all transferred to the long-term care plans.  The previous audit finding related to care planning has not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did not describe the support required to meet all the resident’s goals and identified care needs and not all sections of the care plan template had been completed.  The care plans did evidence allied health involvement.  Short-term care plans are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family/whānau interviewed report that they are involved in the care planning and review process.  Staff interviewed report they find the care plans easy to follow and are able to describe the care required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follow the care plan and report progress against the care plan at least daily in the progress notes.  Not all residents have the required monitoring documented for bowel activity or following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external nursing or allied health advice is required, the clinical manager will initiate a referral (e.g., to the wound care specialist nurse).  If external medical advice is required, this will be actioned by the GPs.  Staff have access to sufficient medical supplies (e.g., dressings).  Sufficient continence products are available.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the two residents with wounds.  All wounds have been reviewed in the required timeframes.  There were no residents with pressure injuries on the days of the audit.  The care staff have access to specialist nursing wound care management advice through the Cavell Group and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manager and the caregivers demonstrated an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who provide a recreational programme Monday to Friday.  The activity coordinators are supported by a qualified diversional therapist (DT) within the Cavell Provider Group and they attend the regional DT meetings.  The activity coordinators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a month in advance and all residents receive a copy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activities to meet the recreational preferences and individual abilities including: word games, history, memorabilia, entertainment, craft, exercises and movies.  One-on-one time is spent with residents who choose not to participate in the group programme.  A mobility van is hired for outings and drives.  Residents are encouraged to maintain community involvement and trips are arranged to the RSA.  Interdenominational church services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complete an activities assessment on admission.  Each resident has an individualised activity plan documented.  Not all activity plans sampled had been reviewed six-monthly or against the stated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an opportunity for the residents to provide feedback and suggestions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are documented and evaluated by the clinical manager within three weeks of admission.  Long-term care plans have been reviewed at least six-monthly or earlier for any health changes.  The GP reviews the residents at least three-monthly or earlier if required.  Evidence of three-monthly GP reviews are documented in all residents’ files sampled.  Ongoing evaluations occur daily/as indicated and are documented within the progress notes.  Not all activity care plans had been reviewed as required (link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4 December 2016).  The facility manager coordinates all planned and reactive maintenance.  The facility is well maintained, however, not all maintenance required in the kitchen has been completed.  Hot water temperatures are monitored and managed within 43-45 degrees Celsius.  Residents have access to safely designed external areas that have shade.  Staff state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and education and training programme includes fire and security training and staff completing competency questionnaires.  Staff interviews confirm their understanding of emergency procedures.  Six-monthly trail fire evacuations could not be evidenced.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restraint minimisation and safe practice policies applicable to the service.  Guidelines of the use of restraints policy ensures that enablers are voluntary, the least restrictive option and allows residents to maintain their independence.  The clinical manager is the restraint coordinator and is knowledgeable regarding this role.  During the audit, there were no residents using a restraint or an enabler.  Staff receive training around restraint minimisation and managing challenging behaviours.  Staff interviewed understands the difference between an enabler and a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3"/>
        <w:gridCol w:w="1280"/>
        <w:gridCol w:w="4575"/>
        <w:gridCol w:w="3972"/>
        <w:gridCol w:w="17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safe medication management.  All staff who administer medication have completed the required medication competencies.  Medication packs are checked by the clinical manager against the medication chart on arrival from the pharmacy.  Medication is stored safely.  Not all required medication checks have been completed.  The eye drops in use on the medication trolley were reviewed and the eye medication in use was expired.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evidence of weekly mandatory drug checks being completed.</w:t>
            </w:r>
          </w:p>
          <w:p w:rsidR="00EB7645" w:rsidRPr="00BE00C7" w:rsidP="00BE00C7">
            <w:pPr>
              <w:pStyle w:val="OutcomeDescription"/>
              <w:spacing w:before="120" w:after="120"/>
              <w:rPr>
                <w:rFonts w:cs="Arial"/>
                <w:b w:val="0"/>
                <w:lang w:eastAsia="en-NZ"/>
              </w:rPr>
            </w:pPr>
            <w:r w:rsidRPr="00BE00C7">
              <w:rPr>
                <w:rFonts w:cs="Arial"/>
                <w:b w:val="0"/>
                <w:lang w:eastAsia="en-NZ"/>
              </w:rPr>
              <w:t>ii) One of one eye drops in use were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required medication checks are completed as required by contractual and legal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medication in use has not expired.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standing orders.  However, the standing orders in use do not consistently record the number of dose(s) of the medicine for which the standing order is valid, the contraindications and/or exclusions for the medicines, the monitoring of the medicine (if required,) the clinical documentation to be recorded and the standing order competency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in use do not comply with the Standing Orders Guidelines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standing orders in use comply with the Standing Orders Guidelines 2016.</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completes the interRAI and other relevant nursing assessments.  The clinical manager reviews the information gathered from assessments, monitoring charts, observations and interviews with residents, staff and families to develop the care plan.  The information gathered in the assessment processes is not always transferred to the care plan, or used to document the required care plan interventions.  Care plan interventions are not documented for two residents with a recent history of wandering.  </w:t>
            </w:r>
          </w:p>
          <w:p w:rsidR="00EB7645" w:rsidRPr="00BE00C7" w:rsidP="00BE00C7">
            <w:pPr>
              <w:pStyle w:val="OutcomeDescription"/>
              <w:spacing w:before="120" w:after="120"/>
              <w:rPr>
                <w:rFonts w:cs="Arial"/>
                <w:b w:val="0"/>
                <w:lang w:eastAsia="en-NZ"/>
              </w:rPr>
            </w:pPr>
            <w:r w:rsidRPr="00BE00C7">
              <w:rPr>
                <w:rFonts w:cs="Arial"/>
                <w:b w:val="0"/>
                <w:lang w:eastAsia="en-NZ"/>
              </w:rPr>
              <w:t>Not all sections of the care plan template had been completed.  The outcome scores from the interRAI assessments completed, are not entered in five of five care plans sampled.  This is a continued finding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the use of short-term care plans and these have been evaluated and signed out once resolved.  Care staff are able to describe the care required for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of five care plans sampled do not have the interRAI assessment outcomes/scores transferred to the long-term care plans in relation to falls risk, pressure injury risk, and undernutrition and bowel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five care plans sampled do not document care plan interventions for all assessed needs.  Where care plan interventions were documented, they did not fully describe all support required.  Examples include; management of: behaviours, an indwelling catheter, mobility, high falls risk, pressure injury risk, end of life care, confusion, spiritual or cultural care, reflux, chronic myeloid leukaemia, ulcerative colitis, pagets disease and hyponatraemia, </w:t>
            </w:r>
          </w:p>
          <w:p w:rsidR="00EB7645" w:rsidRPr="00BE00C7" w:rsidP="00BE00C7">
            <w:pPr>
              <w:pStyle w:val="OutcomeDescription"/>
              <w:spacing w:before="120" w:after="120"/>
              <w:rPr>
                <w:rFonts w:cs="Arial"/>
                <w:b w:val="0"/>
                <w:lang w:eastAsia="en-NZ"/>
              </w:rPr>
            </w:pPr>
            <w:r w:rsidRPr="00BE00C7">
              <w:rPr>
                <w:rFonts w:cs="Arial"/>
                <w:b w:val="0"/>
                <w:lang w:eastAsia="en-NZ"/>
              </w:rPr>
              <w:t>iii) Two of two residents with a history of dementia and confusion, who have wandered off-site, do not have care plan interventions documented to manage this risk.</w:t>
            </w:r>
          </w:p>
          <w:p w:rsidR="00EB7645" w:rsidRPr="00BE00C7" w:rsidP="00BE00C7">
            <w:pPr>
              <w:pStyle w:val="OutcomeDescription"/>
              <w:spacing w:before="120" w:after="120"/>
              <w:rPr>
                <w:rFonts w:cs="Arial"/>
                <w:b w:val="0"/>
                <w:lang w:eastAsia="en-NZ"/>
              </w:rPr>
            </w:pPr>
            <w:r w:rsidRPr="00BE00C7">
              <w:rPr>
                <w:rFonts w:cs="Arial"/>
                <w:b w:val="0"/>
                <w:lang w:eastAsia="en-NZ"/>
              </w:rPr>
              <w:t>iv) Three of five care plans sampled do not have the front sections of the care plan fully completed and do not document the required monitoring for weight and BP or have the allergies section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relevant assessment scores/outcomes are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ii-iii) Ensure that care plan interventions are documented for all assessed care needs and in sufficient detail to guide the care staff.</w:t>
            </w:r>
          </w:p>
          <w:p w:rsidR="00EB7645" w:rsidRPr="00BE00C7" w:rsidP="00BE00C7">
            <w:pPr>
              <w:pStyle w:val="OutcomeDescription"/>
              <w:spacing w:before="120" w:after="120"/>
              <w:rPr>
                <w:rFonts w:cs="Arial"/>
                <w:b w:val="0"/>
                <w:lang w:eastAsia="en-NZ"/>
              </w:rPr>
            </w:pPr>
            <w:r w:rsidRPr="00BE00C7">
              <w:rPr>
                <w:rFonts w:cs="Arial"/>
                <w:b w:val="0"/>
                <w:lang w:eastAsia="en-NZ"/>
              </w:rPr>
              <w:t>iv) Ensure that all sections of the template care plan are completed fully.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reviews the assessment information gathered to document the interventions required in the care plan.  The care plan describes the type and frequency of monitoring the resident requires.  Two of five residents with a history of constipation have no monitoring of bowel activity documented.  Five of five residents following an unwitnessed fall, do not have the post falls monitoring required by the organisational policy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five residents with a previous history of constipation have no evidence of monitoring of bowel activity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five residents following an unwitnessed fall do not have the clinical monitoring required by the organisations falls policy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required monitoring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complete an activities assessment on admission and document an activity care plan in consultation with the resident or their family.  The group activity programme for the month is placed on the residents’ noticeboards and the current days programme is documented on a whiteboard in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four activity care plans due for review have not been reviewed six-monthly or reviewed at the same time the long-term care plans are reviewed, or against the resident’s stated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four activity care plans due for review, have not been reviewed in the required timeframes, or reviewed in conjunction with a review of the long-term care plan or reviewed against the resident’s stated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activity care plans are reviewed at least six-monthly and are reviewed at the same time as a review of the long-term care plan and reviewed against the resident’s stated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 service has an implemented preventative maintenance plan.  The service has recently replaced the walls behind the cooker with stainless steel.  Not all maintenance required in the kitchen had been completed on the day of audit, however, there is a plan in place to complete the outstanding work by June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food preparation bench top is made of formica and pieces of formica have broken off leaving exposed wood.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cupboards under the kitchen sink have chipped paint on the edges leaving exposed wooden surfaces.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lino is cracked and peeling.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outstanding maintenance in the kitchen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training on fire safety and fire evacuation and are required to complete a fire safety competency quiz.  The last trial fire evacuation was held in May 2016.  The service booked a trial evacuation during the audit and advised this would be completed within the month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trial fire evacuation has not been held six-monthly.  The last trial fire evacuation was in May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trial fire evacuations are held at least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Devonport Palms Retirement Limited - Devonport Palms Retirement Complex</w:t>
    </w:r>
    <w:bookmarkEnd w:id="58"/>
    <w:r>
      <w:rPr>
        <w:rFonts w:cs="Arial"/>
        <w:sz w:val="16"/>
        <w:szCs w:val="20"/>
      </w:rPr>
      <w:tab/>
      <w:t xml:space="preserve">Date of Audit: </w:t>
    </w:r>
    <w:bookmarkStart w:id="59" w:name="AuditStartDate1"/>
    <w:r>
      <w:rPr>
        <w:rFonts w:cs="Arial"/>
        <w:sz w:val="16"/>
        <w:szCs w:val="20"/>
      </w:rPr>
      <w:t>15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