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Rosebank Residential Limited - Rosebank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Rosebank Residential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Rosebank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May 2017</w:t>
      </w:r>
      <w:bookmarkEnd w:id="7"/>
      <w:r w:rsidRPr="009418D4">
        <w:rPr>
          <w:rFonts w:cs="Arial"/>
        </w:rPr>
        <w:tab/>
        <w:t xml:space="preserve">End date: </w:t>
      </w:r>
      <w:bookmarkStart w:id="8" w:name="AuditEndDate"/>
      <w:r w:rsidR="00A4268A">
        <w:rPr>
          <w:rFonts w:cs="Arial"/>
        </w:rPr>
        <w:t>2 May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None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Rosebank Home and Hospital provides care for up to 100 residents requiring rest home or hospital level care.  On the day of the audit there were 68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general practitioner (GP), relatives, staff and management.  </w:t>
      </w:r>
    </w:p>
    <w:p w:rsidRPr="00A4268A">
      <w:pPr>
        <w:spacing w:before="240" w:line="276" w:lineRule="auto"/>
        <w:rPr>
          <w:rFonts w:eastAsia="Calibri"/>
        </w:rPr>
      </w:pPr>
      <w:r w:rsidRPr="00A4268A">
        <w:rPr>
          <w:rFonts w:eastAsia="Calibri"/>
        </w:rPr>
        <w:t xml:space="preserve">Residents and families interviewed were very complimentary of the care and support provided.  The general manager and clinical manager are well qualified for their roles.  </w:t>
      </w:r>
    </w:p>
    <w:p w:rsidRPr="00A4268A">
      <w:pPr>
        <w:spacing w:before="240" w:line="276" w:lineRule="auto"/>
        <w:rPr>
          <w:rFonts w:eastAsia="Calibri"/>
        </w:rPr>
      </w:pPr>
      <w:r w:rsidRPr="00A4268A">
        <w:rPr>
          <w:rFonts w:eastAsia="Calibri"/>
        </w:rPr>
        <w:t>This audit identified that improvements are required around: incident reporting; completion of clinical assessments; care planning; and restraint monitoring.</w:t>
      </w:r>
    </w:p>
    <w:p w:rsidRPr="00A4268A">
      <w:pPr>
        <w:spacing w:before="240" w:line="276" w:lineRule="auto"/>
        <w:rPr>
          <w:rFonts w:eastAsia="Calibri"/>
        </w:rPr>
      </w:pPr>
      <w:r w:rsidRPr="00A4268A">
        <w:rPr>
          <w:rFonts w:eastAsia="Calibri"/>
        </w:rPr>
        <w:t xml:space="preserve">The service has achieved a continuous improvement rating around infection prevention and control.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Rosebank Home and Hospital provides care in a way that focuses on the individual resident.  Cultural and spiritual assessments are undertaken on admission and during the review processes.  Policies are implemented to support individual rights such as: privacy; dignity; abuse/neglect; culture; values and beliefs; complaints; advocacy; and informed consent.  Information about the Code of Health and Disability Services Consumers' Rights (the Code) and related services is readily available to residents and families.  Care plans accommodate the choices of residents and/or their family.  Complaints processes are implemented and managed in line with the Code.  Residents and family interviewed verified ongoing involvement with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Rosebank Home and Hospital has a quality and risk management system that supports the provision of clinical care.  Quality data is collated for: accident/incidents; infection control; internal audits; concerns and complaints; and surveys.  Incidents and accidents are documented.</w:t>
      </w:r>
    </w:p>
    <w:p w:rsidRPr="00A4268A">
      <w:pPr>
        <w:spacing w:before="240" w:line="276" w:lineRule="auto"/>
        <w:rPr>
          <w:rFonts w:eastAsia="Calibri"/>
        </w:rPr>
      </w:pPr>
      <w:r w:rsidRPr="00A4268A">
        <w:rPr>
          <w:rFonts w:eastAsia="Calibri"/>
        </w:rPr>
        <w:t xml:space="preserve">There are human resources policies including: recruitment; job descriptions; selection; orientation; and staff training and development.  The service has an orientation programme that provides new staff with relevant information for safe work practice.  There is an education programme in place.  This includes training packages for all levels of nursing staff.  External training is supported.  There is a staffing policy and rosters in place.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Pre-admission information is made available to prospective residents and their families.  The registered nurses are responsible for each stage of service provision.  A registered nurse assesses and reviews residents' needs, outcomes and goals with the resident and/or family/whānau input.  Care plans viewed in resident records demonstrate service integration and are reviewed at least six-monthly.  Resident files include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caregivers responsible for administration of medicines complete education and medication competencies.  The electronic medicine charts reviewed meet prescribing requirements and are reviewed at least three-monthly.     </w:t>
      </w:r>
    </w:p>
    <w:p w:rsidRPr="00A4268A" w:rsidP="00621629">
      <w:pPr>
        <w:spacing w:before="240" w:line="276" w:lineRule="auto"/>
        <w:rPr>
          <w:rFonts w:eastAsia="Calibri"/>
        </w:rPr>
      </w:pPr>
      <w:r w:rsidRPr="00A4268A">
        <w:rPr>
          <w:rFonts w:eastAsia="Calibri"/>
        </w:rPr>
        <w:t xml:space="preserve">A diversional therapist oversees and coordinates the activity programme with the assistance of a recreational officer and group of volunteers.  The programme includes: community visitors; outings; entertainment; and activities that meet the individual recreational, physical, cultural and cognitive abilities and preferences for the rest home and hospital level of care residents.  </w:t>
      </w:r>
    </w:p>
    <w:p w:rsidRPr="00A4268A" w:rsidP="00621629">
      <w:pPr>
        <w:spacing w:before="240" w:line="276" w:lineRule="auto"/>
        <w:rPr>
          <w:rFonts w:eastAsia="Calibri"/>
        </w:rPr>
      </w:pPr>
      <w:r w:rsidRPr="00A4268A">
        <w:rPr>
          <w:rFonts w:eastAsia="Calibri"/>
        </w:rPr>
        <w:t>Residents' food preferences and dietary requirements are identified at admission and all meals are cooked on-site.  The kitchen is well equipped for the size of the service.  Food, fluid and nutritional needs of residents are provided in line with recognised nutritional guidelines and additional requirements/modified needs are being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documented processes for the management of waste and hazardous substances in place and incidents are reported in a timely manner.  Chemicals are stored safely throughout the facility.  The building holds a current warrant of fitness.  Residents can freely mobilise within the communal areas with safe access to the outdoors, seating and shade.  Resident bedrooms are personalised with access to ensuites or communal facilities.  Documented policies and procedures for the cleaning and laundry services are implemented with appropriate monitoring systems in place to evaluate the effectiveness of these services.  Documented systems are in place for essential, emergency and security services.  There is at least one staff member on duty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There is a restraint policy that includes comprehensive restraint procedures.  There is a documented definition of restraint and enablers that aligns with the definition in the standards.  There is a restraint register and a register for enablers.  There are currently two hospital level residents requiring restraints and one resident using an enabler.  Staff are trained in restraint minimisation and challenging behaviour management.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06"/>
        <w:gridCol w:w="1280"/>
        <w:gridCol w:w="94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Families and residents are provided with information on admission which includes information about the Code.  Staff receive training about resident rights at orientation and as part of the annual in-service programme.  Interviews with eleven care staff (six caregivers, four registered nurses (RN) and one diversional therapist) confirms their understanding of the Code.  Seven residents (five rest home and two hospital level) and seven relatives (three rest home and four hospital level) interviewed confirm that staff respect privacy and support residents in making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consents are obtained as part of the admission agreement and are documented in eight long-term resident files reviewed.  Advance directives include the resident’s resuscitation wishes.  Copies of enduring power of attorney are on file as required.  The care staff interviewed demonstrated a good understanding in relation to informed consent and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Seven relatives (three rest home and four hospital) and residents (five rest home and two hospital) interviewed confirmed they have been made aware of and fully understand informed consent processes and that appropriate information had been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 they are aware of their right to access independent advocacy services.  Discussions with relatives confirms the service provides opportunities for the family/EPOA to be involved in decisions.  The resident files include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 open visiting hours.  Visitors were observed coming and going during the audit.  The activities programme includes opportunities to attend events outside of the facility.  Residents are supported and encouraged to remain involved in the community.  Relatives and friends are encouraged to be involved with the service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policy and procedures are implemented.  Complaint forms are available.  Residents and family interviewed confirm they received information on the complaints process on admission and the care lead is very approachable should they have any concerns/complaints.  Care staff are aware of the complaints process and to whom they should direct complaints.  </w:t>
            </w:r>
          </w:p>
          <w:p w:rsidR="00EB7645" w:rsidRPr="00BE00C7" w:rsidP="00BE00C7">
            <w:pPr>
              <w:pStyle w:val="OutcomeDescription"/>
              <w:spacing w:before="120" w:after="120"/>
              <w:rPr>
                <w:rFonts w:cs="Arial"/>
                <w:b w:val="0"/>
                <w:lang w:eastAsia="en-NZ"/>
              </w:rPr>
            </w:pPr>
            <w:r w:rsidRPr="00BE00C7">
              <w:rPr>
                <w:rFonts w:cs="Arial"/>
                <w:b w:val="0"/>
                <w:lang w:eastAsia="en-NZ"/>
              </w:rPr>
              <w:t>A complaints folder is maintained.  There were seven complaints received in 2016 and three made in 2017 year to date.  All of the complaints documentation includes follow-up letters, investigations and resolutions and have been completed within the required timeframes.  Corrective actions have been implemented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information pack given to prospective residents and families, which includes information about the Code and the Nationwide Advocacy Service.  There is the opportunity to discuss aspects of the Code during the admission process.  Residents and relatives confirm that information is provided to them around the Code.  Large print posters of the Code and advocacy information are displayed throughout the facility.  The clinical manager or RN discusses the information pack with residents/relatives on admission.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tour of the premises confirms there are areas that support personal privacy for residents.  Staff are respectful of residents’ privacy and knock on doors prior to entering resident rooms.  Staff are able to describe definitions around abuse and neglect that align with policy.  Relatives interviewed confirm that staff treat residents with respect.  The service philosophy promotes quality of life and involves residents in decisions about their care.  Resident preferences are identified during the admission and care planning process and include family involvement.  Caregivers described how choice is incorporated into resident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Māori health plan policy for the service references local Māori healthcare providers and provides recognition of Māori values and beliefs.  Family/whānau involvement is encouraged in assessment and care planning and visiting is encouraged.  At the time of the audit, there were no residents that identified as Māori living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meet the cultural needs of its residents.  All residents and relatives interviewed report that they are satisfied that their cultural and individual values are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during assessment including resident’s cultural beliefs and values, is used to develop a care plan which the resident (if appropriate) and/or their family/whānau are asked to consult 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staff meetings include discussions around professional boundaries and concerns as they arise.  Management provided guidelines and examples of mentoring for specific situations.  Interviews with the managers (general manager and clinical manager) and care staff confirms their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to meet the needs of residents requiring rest home and hospital level of care.  Staffing policies include the recruitment process, the requirement to attend orientation and participate in ongoing in-service training.  The resident satisfaction survey reflects high levels of satisfaction with the services that are provided.  Residents and relatives interviewed spoke very positively about the care and support provided.  Staff interviewed demonstrate a sound understanding of principles of aged care and state that they feel supported by the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to guide staff in their responsibility around open disclosure.  Staff are required to record family notification when completing an incident/accident/near miss form.  Twenty incident/accident/near miss reports reviewed met this requirement.  Relatives interviewed confirmed they are notified following a change of health status of their family member.  There is an interpreter policy in place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Rosebank Home and Hospital is privately owned and governed by a Board.  The service provides care for up to 100 residents at hospital or rest home level care.  On the day of the audit, there were 68 residents (24 hospital level care residents and 44 rest home level care residents- including 2 respite care residents).  The service has 20 dual purpose beds in the rest home (adjacent to the hospital wing); 10 of which are occupied by residents requiring hospital level care.</w:t>
            </w:r>
          </w:p>
          <w:p w:rsidR="00EB7645" w:rsidRPr="00BE00C7" w:rsidP="00BE00C7">
            <w:pPr>
              <w:pStyle w:val="OutcomeDescription"/>
              <w:spacing w:before="120" w:after="120"/>
              <w:rPr>
                <w:rFonts w:cs="Arial"/>
                <w:b w:val="0"/>
                <w:lang w:eastAsia="en-NZ"/>
              </w:rPr>
            </w:pPr>
            <w:r w:rsidRPr="00BE00C7">
              <w:rPr>
                <w:rFonts w:cs="Arial"/>
                <w:b w:val="0"/>
                <w:lang w:eastAsia="en-NZ"/>
              </w:rPr>
              <w:t>An experienced general manager, who has been in the role for over ten years, manages the service.  The general manager reports monthly to the Board on a variety of management issues.  The current strategic plan and quality and risk management plans are being implemented.  The general manager receives support from a clinical manager, education coordinator, quality/health and safety/infection control coordinator, registered nurses and care staff.  Building and refurbishment work has been completed since the last audit to enlarge, refurbish and add ensuites to 16 rooms in the rest home wing.  The service is planning to refurbish more rooms in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facility manager, the clinical manager is in charge with support from the management team and care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plan is in place which includes key performance indicators (KPIs) around clinical quality.  The business plan has additional financial KPIs.  There are polices and procedure in place.</w:t>
            </w:r>
          </w:p>
          <w:p w:rsidR="00EB7645" w:rsidRPr="00BE00C7" w:rsidP="00BE00C7">
            <w:pPr>
              <w:pStyle w:val="OutcomeDescription"/>
              <w:spacing w:before="120" w:after="120"/>
              <w:rPr>
                <w:rFonts w:cs="Arial"/>
                <w:b w:val="0"/>
                <w:lang w:eastAsia="en-NZ"/>
              </w:rPr>
            </w:pPr>
            <w:r w:rsidRPr="00BE00C7">
              <w:rPr>
                <w:rFonts w:cs="Arial"/>
                <w:b w:val="0"/>
                <w:lang w:eastAsia="en-NZ"/>
              </w:rPr>
              <w:t>Monitoring of the quality and risk plan is through a series of meetings and reports.  This includes a monthly report by the general manager to the Board, including copies of the monthly registered nurse and monthly quality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Meetings include: quarterly staff meetings; monthly registered nurse; and monthly quality meetings.  All meetings document discussion and follow-up of: quality data; incidents and accidents; health and safety; infection control; complaints (where they occur); and restraint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series of quality improvement plans have been implemented around: new care plan templates; continence care; pressure injury prevention; falls prevention; pain management; and the roll-out of electronic medication management software.  </w:t>
            </w:r>
          </w:p>
          <w:p w:rsidR="00EB7645" w:rsidRPr="00BE00C7" w:rsidP="00BE00C7">
            <w:pPr>
              <w:pStyle w:val="OutcomeDescription"/>
              <w:spacing w:before="120" w:after="120"/>
              <w:rPr>
                <w:rFonts w:cs="Arial"/>
                <w:b w:val="0"/>
                <w:lang w:eastAsia="en-NZ"/>
              </w:rPr>
            </w:pPr>
            <w:r w:rsidRPr="00BE00C7">
              <w:rPr>
                <w:rFonts w:cs="Arial"/>
                <w:b w:val="0"/>
                <w:lang w:eastAsia="en-NZ"/>
              </w:rPr>
              <w:t>The service completes internal audits as per the annual audit programme.  Areas of non-compliance identified through quality activities are actioned for improvement.</w:t>
            </w:r>
          </w:p>
          <w:p w:rsidR="00EB7645" w:rsidRPr="00BE00C7" w:rsidP="00BE00C7">
            <w:pPr>
              <w:pStyle w:val="OutcomeDescription"/>
              <w:spacing w:before="120" w:after="120"/>
              <w:rPr>
                <w:rFonts w:cs="Arial"/>
                <w:b w:val="0"/>
                <w:lang w:eastAsia="en-NZ"/>
              </w:rPr>
            </w:pPr>
            <w:r w:rsidRPr="00BE00C7">
              <w:rPr>
                <w:rFonts w:cs="Arial"/>
                <w:b w:val="0"/>
                <w:lang w:eastAsia="en-NZ"/>
              </w:rPr>
              <w:t>Staff complete hazard identification forms for identified/potential hazards.  A current hazard register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implemented for individual residents and staff receive training to support falls prevention.  The service contracts a physiotherapist two days per week and a mobility assessor is employed three days per week. </w:t>
            </w:r>
          </w:p>
          <w:p w:rsidR="00EB7645" w:rsidRPr="00BE00C7" w:rsidP="00BE00C7">
            <w:pPr>
              <w:pStyle w:val="OutcomeDescription"/>
              <w:spacing w:before="120" w:after="120"/>
              <w:rPr>
                <w:rFonts w:cs="Arial"/>
                <w:b w:val="0"/>
                <w:lang w:eastAsia="en-NZ"/>
              </w:rPr>
            </w:pPr>
            <w:r w:rsidRPr="00BE00C7">
              <w:rPr>
                <w:rFonts w:cs="Arial"/>
                <w:b w:val="0"/>
                <w:lang w:eastAsia="en-NZ"/>
              </w:rPr>
              <w:t>Residents are surveyed to gather feedback on the service provided and the outcomes are communicated to residents, staff and families.  The resident satisfaction survey 2016 reported 100% overall satisfaction with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Accidents and near misses are investigated by the clinical manager and analysis of incident trends occurs.  There is discussion of incidents/accidents/near misses at monthly quality and quarterly staff meetings including actions to minimise recurrence.  Twenty incident forms sampled document that clinical follow up of residents is conducted by a registered nurse.  However, neurological observations are not consistently documented for unwitnessed falls.  Discussions with the general manager and clinical manager confirms that there is an awareness of the requirement to notify relevant authorities in relation to essential notifications.  Section 31 notifications made since the previous audit includes notification of a pressure injury and sudden death of a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management policies in place.  The recruitment and staff selection process requires that relevant checks are completed to validate the individual’s qualifications, experience and veracity.  Job descriptions are available for all relevant positions.  Practising certificates reviewed are current.  Eight staff files were reviewed (the clinical manager, one housekeeper, one diversional therapist, two caregivers, one head cook and two RNs).  Evidence of signed employment contracts, job descriptions, orientation and training, are included in the files reviewed.  Annual performance appraisals have been conducted for all staff as they fall due.  Newly appointed staff complete an orientation that is specific to their job description.  Care staff interviewed confirm that orientation programme includes a period of supervision.  The service has filmed an infection control DVD as a quality improvement initiative in response to learning opportunities from an outbreak which occurred in 2014.  This DVD is used for infection control training at orientation of new staff (link to 3.5.1).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annual training schedule for in-service education which is developed by the education coordinator.  External training is available for RNs.  Education has been provided and attendance recorded.  Staff complete competencies relevant to their roles.  Registered nurses are trained and competent in the use of the interRAI assessment tool.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include staff rationale and skill mix.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RN rostered on duty on each shift over seven days per week in the hospital. </w:t>
            </w:r>
          </w:p>
          <w:p w:rsidR="00EB7645" w:rsidRPr="00BE00C7" w:rsidP="00BE00C7">
            <w:pPr>
              <w:pStyle w:val="OutcomeDescription"/>
              <w:spacing w:before="120" w:after="120"/>
              <w:rPr>
                <w:rFonts w:cs="Arial"/>
                <w:b w:val="0"/>
                <w:lang w:eastAsia="en-NZ"/>
              </w:rPr>
            </w:pPr>
            <w:r w:rsidRPr="00BE00C7">
              <w:rPr>
                <w:rFonts w:cs="Arial"/>
                <w:b w:val="0"/>
                <w:lang w:eastAsia="en-NZ"/>
              </w:rPr>
              <w:t>There are 20 dual purpose beds in the rest home (adjacent to the hospital wing); 10 of which are occupied by hospital level care residents.</w:t>
            </w:r>
          </w:p>
          <w:p w:rsidR="00EB7645" w:rsidRPr="00BE00C7" w:rsidP="00BE00C7">
            <w:pPr>
              <w:pStyle w:val="OutcomeDescription"/>
              <w:spacing w:before="120" w:after="120"/>
              <w:rPr>
                <w:rFonts w:cs="Arial"/>
                <w:b w:val="0"/>
                <w:lang w:eastAsia="en-NZ"/>
              </w:rPr>
            </w:pPr>
            <w:r w:rsidRPr="00BE00C7">
              <w:rPr>
                <w:rFonts w:cs="Arial"/>
                <w:b w:val="0"/>
                <w:lang w:eastAsia="en-NZ"/>
              </w:rPr>
              <w:t>A RN is rostered on duty on the morning shift Monday-Friday in the rest home.  The RN on duty in the hospital on afternoon and night shift provides oversight of the hospital residents in the rest home and support to the senior caregiver.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also a clinical manager who works 6.5 hours daily Monday to Friday and an occupational health and safety/wound care advisor (RN), works three days per week. </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caregivers rostered on duty each day to support the RNs and meet the needs of residents.</w:t>
            </w:r>
          </w:p>
          <w:p w:rsidR="00EB7645" w:rsidRPr="00BE00C7" w:rsidP="00BE00C7">
            <w:pPr>
              <w:pStyle w:val="OutcomeDescription"/>
              <w:spacing w:before="120" w:after="120"/>
              <w:rPr>
                <w:rFonts w:cs="Arial"/>
                <w:b w:val="0"/>
                <w:lang w:eastAsia="en-NZ"/>
              </w:rPr>
            </w:pPr>
            <w:r w:rsidRPr="00BE00C7">
              <w:rPr>
                <w:rFonts w:cs="Arial"/>
                <w:b w:val="0"/>
                <w:lang w:eastAsia="en-NZ"/>
              </w:rPr>
              <w:t>Staff are visible and attend to call bells in a timely manner as confirmed by all residents interviewed.  Staff state that overall, the staffing levels are satisfactory and that the managers provide good support.  Residents and family members interviewed report there are sufficient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with the exception of one rest home respite resident (link to 1.3.4.2).  Residents' files are protected from unauthorised access by being locked away in the nurses’ stations.  Informed consent to display photographs is obtained from residents/family/whānau on admission.  Information containing sensitive resident information is not displayed in a way that can be viewed by other residents or members of the public.  Entries in records are legible, dated and signed by the relevant caregiver or RN.  Individual resident files demonstrate service integration.  This includes medical care interventions and records of the diversional therapist.  Medication charts are stored electronically on the medication management programme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The service has a comprehensive information folder for residents/families/whānau at entry.  Eight admission agreements for long-term residents align with all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are coordinated in collaboration with the resident and family to ensure continuity of care.  There are documented policies and procedures to ensure exit, discharge or transfer of residents is undertaken in a timely and safe manner.  The residents and their families are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Clinical staff who administer medications (RNs and senior caregivers) have been assessed for medication competency on an annual basis.  RNs have completed syringe driver training.  Education around safe medication administration has been provided.  Robotic roll medications are checked on delivery by the RN.  ‘As required’ medication expiry dates are checked regularly.  Standing orders are not used.  No residents were self-medicating on the day of audit.  Medication fridge temperatures are checked and recorded weekly.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18 medication charts reviewed on the electronic medication system meet legislative prescribing requirements.  The GP has reviewed the medication charts three-monthly.  All medications have been administered as prescribed.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Rosebank are prepared and cooked on-site by a qualified cook and kitchen assistants.  A food supervisor oversees the service.  There is a four-week seasonal menu which has been reviewed by a dietitian (March 2017).  </w:t>
            </w:r>
          </w:p>
          <w:p w:rsidR="00EB7645" w:rsidRPr="00BE00C7" w:rsidP="00BE00C7">
            <w:pPr>
              <w:pStyle w:val="OutcomeDescription"/>
              <w:spacing w:before="120" w:after="120"/>
              <w:rPr>
                <w:rFonts w:cs="Arial"/>
                <w:b w:val="0"/>
                <w:lang w:eastAsia="en-NZ"/>
              </w:rPr>
            </w:pPr>
            <w:r w:rsidRPr="00BE00C7">
              <w:rPr>
                <w:rFonts w:cs="Arial"/>
                <w:b w:val="0"/>
                <w:lang w:eastAsia="en-NZ"/>
              </w:rPr>
              <w:t>Meals are kept hot in a bain marie until serving commences.  Meals are covered with insulated lids and delivered from the rest home to the hospital dining room and resident rooms.  Dietary needs are known with individual likes and dislikes accommodated.  Dietary requirements and food dislikes are accommodated.  Additional or modified foods are also provided by the service.  Specialised plates and utensils are available for residents as assessed.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are taken and recorded daily.  End cooked food temperatures are taken on the main meal.  The dishwasher is checked regularly by the chemical supplier.  Food items sighted are date labelled.  All food services staff have completed training in food safety and chemical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Nutrition and safe food management policies define the requirements for all aspects of food safety.  A kitchen cleaning schedule is in place and implemented.  Containers of food are labelled and dated.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and surveys, along with direct input from residents, provide resident feedback on the meals and food services generally.  Residents and family members interviewed were satisfied with the food and confirmed alternative food choices were offered for dislikes.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care required or there are no beds available.  Management communicate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an initial assessment on admission and a range of risk assessment tools for long-term residents, however there was no admission assessment for the respite care resident.  An interRAI assessment is undertaken within 21 days of admission, however the interRAI assessment has not always been completed six-monthly.  Resident needs and supports are identified through the ongoing paper based assessments and form the basis of the care plan.  Risk assessment management plans are in place for falls risk and pressure injury risk.  There was no pain assessment for one resident with acute pain.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are resident focused and individualised.  Not all support needs are included in the long-term care plans for three residents with weight loss and two care plans did not reflect the resident’s current skin integrity.  Care plans evidence resident (as appropriate) and family/whānau involvement in the care plan process.  Relatives interviewed confirm they were involved in the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demonstrate service integration.  There is evidence of allied health care professionals involved in the care of the resident including mobility assessor, physiotherapist, podiatrist and dietitian.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RN initiates a review and if required, a GP, dietitian or nurse specialist consultation.  There is evidence that family members are notified of any changes to their relative’s health including (but not limited to): accident/incidents; infections; health professional visits; and changes in medications.  Discussions with families and notifications are documented in the resident files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are available in the treatment rooms.  Wound management policies and procedures are in place.  Wound assessments, treatment and evaluations are in place for eight residents with wounds.  There is a range of equipment readily available to minimise pressure injury.  The service has a wound care advisor/RN who is on-site three days a week and reviews the wounds at least weekly.  There was evidence of district nursing involvement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Monitoring occurs for: weight; baseline observations; blood glucose; and challenging behaviour.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document appropriate interventions to manage short term changes in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qualified registered diversional therapist (DT) who is involved in regional DT meetings and networking.  The DT is employed 33.5 hours a week, Monday to Friday.  A recreational officer is employed from Tuesday to Saturday.  The activity programme is flexible and provides activities to meet the residents’ cognitive and physical abilities.  The service has 19 volunteers involved in assisting the activity team and are involved in one-on-one activities, card games and church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Interactive theme days involve residents and staff such as the “SS Rosebank” which included a cruise theme.  The service has introduced more variety in games and smaller more frequent group outings.  The service hires a bus or wheelchair taxi for outings including the weekly visit to the RSA.  There are many community visitors, speakers, entertainers, church groups, pre-school children and Kapa Haka group.  Church services are held weekly.    </w:t>
            </w:r>
          </w:p>
          <w:p w:rsidR="00EB7645" w:rsidRPr="00BE00C7" w:rsidP="00BE00C7">
            <w:pPr>
              <w:pStyle w:val="OutcomeDescription"/>
              <w:spacing w:before="120" w:after="120"/>
              <w:rPr>
                <w:rFonts w:cs="Arial"/>
                <w:b w:val="0"/>
                <w:lang w:eastAsia="en-NZ"/>
              </w:rPr>
            </w:pPr>
            <w:r w:rsidRPr="00BE00C7">
              <w:rPr>
                <w:rFonts w:cs="Arial"/>
                <w:b w:val="0"/>
                <w:lang w:eastAsia="en-NZ"/>
              </w:rPr>
              <w:t>An activity assessment and plan is completed on admission in consultation with the resident/family (as appropriate).  Activity plans in all files are reviewed six-monthly.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three-monthly.  The service also receives feedback and suggestions for the programme through surveys and one-on-one feedback from residents (as appropriate)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reviewed had been evaluated by the RN within three weeks of admission.  Long-term care plans have been reviewed at least six-monthly or earlier for any health changes.  The GP reviews the residents at least three-monthly or earlier if required.  Ongoing nursing evaluations occur as indicated and are documented within the progress notes and are evident in changes made to care plans.  Evaluations indicate if the resident goals have been met or unmet.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reviewed.  The service facilitates access to other medical and non-medical services.  Referral documentation is maintained on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Chemical bottles sighted have correct manufacturer labels.  Chemicals are stored in locked areas and safety datasheets are readily available for staff.  A spills kit is available.  Personal protective clothing is available for staff and were seen to be worn by staff when carrying out their duties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 July 2017.  The building is two levels with staff only areas on the first floor and all resident rooms on the ground floor.  Sixteen resident rooms have been refurbished to include ensuites.    </w:t>
            </w:r>
          </w:p>
          <w:p w:rsidR="00EB7645" w:rsidRPr="00BE00C7" w:rsidP="00BE00C7">
            <w:pPr>
              <w:pStyle w:val="OutcomeDescription"/>
              <w:spacing w:before="120" w:after="120"/>
              <w:rPr>
                <w:rFonts w:cs="Arial"/>
                <w:b w:val="0"/>
                <w:lang w:eastAsia="en-NZ"/>
              </w:rPr>
            </w:pPr>
            <w:r w:rsidRPr="00BE00C7">
              <w:rPr>
                <w:rFonts w:cs="Arial"/>
                <w:b w:val="0"/>
                <w:lang w:eastAsia="en-NZ"/>
              </w:rPr>
              <w:t>Rosebank employs a full-time maintenance person.  The maintenance person ensures daily maintenance requests are addressed and a planned maintenance schedule is maintained.  Essential contractors are available 24 hours.  Electrical testing is completed by an external contractor two-yearly.  Annual calibration and functional checks of medical equipment is completed by an external contractor.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in resident areas are monitored.  Temperature recordings reviewed are below 45 degrees Celsius and corrective actions documented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rails and sufficient space for residents to safely mobilise using mobility aids.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safe access to the outdoor areas.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The care staff and RNs interviewed state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Toilet and shower facilities are of an appropriate design to meet the needs of the residents.  There are both ensuite bedrooms and communal toilet/shower facilities.  Communal toilet facilities have a system that indicates if it is engaged or vacant.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There is adequate room to safely manoeuvre mobility aids (in rest home rooms) and transferring equipment such as hoists in the resident dual purpose and hospital level rooms.  Residents and families are encouraged to personalise their rooms.  This was evident during a tour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within the facility include a lounge and dining area in each unit along with additional smaller lounges and seating alcoves.  Seating and space is arranged to allow both individual and group activities to occur.  All furniture is safe and suitable for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There are dedicated laundry staff seven days a week.  Residents and family interviewed report satisfaction with the cleaning and laundry service.  Internal audits and the chemical provider monitor the effectiveness of the cleaning and laundry processes.  Staff have completed chemical safety training.  The cleaning trolley is stored in a locked room when not in use.  There is personal protective equipment readily available in the two sluice rooms and on cleaning trolleys.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that has been approved by the New Zealand Fire Service.  There are emergency management plans in place to ensure health, civil defence and other emergencies are included.  Six-monthly fire evacuation practice documentation was sighted.  A contracted service provides checking of all facility equipment including fire equipment.  Fire training and security situations are part of orientation of new staff and include competency assessments.  Emergency equipment is available at the facility.  There are adequate supplies in the event of a civil defence emergency including food, water, blankets and gas cooking.  Short term back-up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on duty at all times.  </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and lounge/dining room areas.  Residents were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adequate natural light, safe ventilation and an environment that is maintained at a safe and comfortable temperature.  There are sufficient doors and external opening windows for ventilation.  All bedrooms have good sized external opening windows which are designed and installed to promote ventilation.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 interviewed confirm the internal temperatures are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a registered nurse (also the wound care advisor and OSH coordinator).  The infection control coordinator is responsible for the collation of infection events.  The infection control coordinator has a defined job description.  Infection events are collated monthly and reported to the combined Infection Control and Health and Safety Committee meeting.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2016 infection control programme has been reviewed and is linked to the quality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Hand sanitisers are appropriately placed throughout the facility.  Residents are offered the influenza vaccine.  This year, 58 of 68 staff have had the influenza vaccine.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infection control coordinator has attended wound care conferences and receives monthly infection control journals.  The combined Infection Control/Health and Safety Committee are representative of all services and meet two-monthly.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access to GPs, local laboratory and microbiologist, the infection control nurse specialist and public health departments at the local DHB for advice and an external infection control consultant specialist.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include a comprehensive range of standards and guidelines including defining roles and responsibilities for the prevention of infection, training and education of staff.  Infection control procedures developed in respect of the kitchen, laundry and housekeeping incorporate the principles of infection control.  The policies are developed by an external consultant and aligned with Rosebank’s facility specific policies and procedures, which are reviewed regularly.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Training on infection control is included in orientation and as part of the annual training schedule.  Hand hygiene competencies are completed on orientation and are ongoing.  Staff complete infection control quizzes.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is expected to occur as part of providing daily cares, as appropriate.  Infection control is discussed at resident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infection control coordinator collates information obtained through surveillance to determine infection control activities and education needs in the facility.  Individual infection reports and short-term care plans are completed for all infections.  Infection control data and relevant information is displayed for staff on the infection control noticeboard in the staff office.  Definitions of infections are in place appropriate to the complexity of service provided.  Infection control data is discussed at both the quality improvement and Health and Safety/Infection Control Committee meetings.  Annual infection control reports are provided.  Trends are identified and preventative measures put in place.  Internal audits for infection control are included in the annual audit schedule.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outbreak in September 2016 which was managed well by implementing the improvement tools and practice resulting from an outbreak in 2014.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that the use of restraint is actively minimized.  There are two residents with restraint and one resident with an enabler.  Enabler use is voluntary.  All necessary assessments and evaluations have been completed in relation to the restraints.  Staff interviews and staff records evidence guidance has been given on restraint minimisation and safe practice (RMSP), enabler usage and prevention and/or de-escalation techniques.  Policies and procedures include definition of restraint and enabler that are congruent with the definition in NZS 8134.0.  Staff education on RMSP/enablers has been provided.  Restraint has been discussed as part of quality and staff meetings.  The clinical manager is the designated restraint coordinator.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the restraint coordinator.  Assessment and approval process for restraint use includes the restraint coordinator, RNs, resident/or representative and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comprehensive assessments for residents who require restraint or enabler interventions.  These are completed by a RN in partnership with the family/whanau, in the two files sampled.  The restraint coordinator, the resident and/or their representative and a medical practitioner are involved in the assessment and consent process.  In the two restraint files and one enabler file reviewed, assessments and consents are fully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manual identifies that restraint is only put in place where it is clinically indicated and justified through the assessment and approval processes.  There is an assessment form/process that is completed for all restraints and enablers.  The files reviewed have a completed assessment form and a care plan that reflects risk.  Monitoring forms that did not always include regular half hourly monitoring, were present in the files reviewed.  The service has a restraint and enablers register which was up to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evaluation of restraint every six months.  In the restraint files reviewed, evaluations had been completed with the resident, family/whanau and restraint coordinator.  Restraint practices are reviewed on a formal basis every month by the facility restraint coordinator at RN/clinical meetings and quality meetings.  Evaluation timeframes are determined by policy and risk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actively reviews restraint as part of the internal audit and reporting cycle.  Reviews are completed six-monthly or sooner if a need is identified.  Reviews are completed by the restraint coordinator.  Any adverse outcomes are reported at the monthly RN/clinical meetings and quality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843"/>
        <w:gridCol w:w="1280"/>
        <w:gridCol w:w="3732"/>
        <w:gridCol w:w="1680"/>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incident reports are completed for each incident/accident/near miss with immediate action noted.  The data is linked to the quality programme and this is used for comparative purposes.  Minutes of the staff meetings reflect a discussion of results.  Six of ten incident reports for unwitnessed falls document that neurological observations have been fully completed as per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ten incident forms sampled, where the resident had experienced an unwitnessed fall, do not document that neurological observations have been completed as per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neurological observations are recorded for unwitnessed falls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interRAI assessments have been completed within the required timeframe.  Six-monthly paper based assessments are completed routinely for all residents and link to the care plan.  Shortfalls are identified around the completion of interRAI assessments six-monthly in conjunction with the care plan evaluation, initial assessment for the respite care resident and a pain assessment for one resident with acute pain.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was no initial assessment of baseline observations including weight, pain assessment or skin/pressure injury risk assessment completed for the rest home respite care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ii) The interRAI six-monthly assessments have been completed but not within six months for five of eight long-term files reviewed (three rest home and two hospital residents).</w:t>
            </w:r>
          </w:p>
          <w:p w:rsidR="00EB7645" w:rsidRPr="00BE00C7" w:rsidP="00BE00C7">
            <w:pPr>
              <w:pStyle w:val="OutcomeDescription"/>
              <w:spacing w:before="120" w:after="120"/>
              <w:rPr>
                <w:rFonts w:cs="Arial"/>
                <w:b w:val="0"/>
                <w:lang w:eastAsia="en-NZ"/>
              </w:rPr>
            </w:pPr>
            <w:r w:rsidRPr="00BE00C7">
              <w:rPr>
                <w:rFonts w:cs="Arial"/>
                <w:b w:val="0"/>
                <w:lang w:eastAsia="en-NZ"/>
              </w:rPr>
              <w:t>iii) One rest home resident did not have an assessment completed for identified acute pain requiring medical intervention.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initial assessments are completed for respite care residents.</w:t>
            </w:r>
          </w:p>
          <w:p w:rsidR="00EB7645" w:rsidRPr="00BE00C7" w:rsidP="00BE00C7">
            <w:pPr>
              <w:pStyle w:val="OutcomeDescription"/>
              <w:spacing w:before="120" w:after="120"/>
              <w:rPr>
                <w:rFonts w:cs="Arial"/>
                <w:b w:val="0"/>
                <w:lang w:eastAsia="en-NZ"/>
              </w:rPr>
            </w:pPr>
            <w:r w:rsidRPr="00BE00C7">
              <w:rPr>
                <w:rFonts w:cs="Arial"/>
                <w:b w:val="0"/>
                <w:lang w:eastAsia="en-NZ"/>
              </w:rPr>
              <w:t>ii) Ensure interRAI assessments are completed six-monthly as part of the care plan evaluation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pain assessments are completed for residents who identify with pain.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of nine care plans reflect the outcomes of the assessments and reflect the resident’s current health status.  Three of eight long-term care plans do not reflect interventions to meet the residents needs/supports.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hospital residents’ care plans have not been updated to identify their pressure injuries have healed.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Two hospital residents and one rest home resident do not have documented interventions for weight loss.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care plans reflect the resident’s current health status.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2.2.3.2</w:t>
            </w:r>
          </w:p>
          <w:p w:rsidR="00EB7645" w:rsidRPr="00BE00C7" w:rsidP="00BE00C7">
            <w:pPr>
              <w:pStyle w:val="OutcomeDescription"/>
              <w:spacing w:before="120" w:after="120"/>
              <w:rPr>
                <w:rFonts w:cs="Arial"/>
                <w:b w:val="0"/>
                <w:lang w:eastAsia="en-NZ"/>
              </w:rPr>
            </w:pPr>
            <w:r w:rsidRPr="00BE00C7">
              <w:rPr>
                <w:rFonts w:cs="Arial"/>
                <w:b w:val="0"/>
                <w:lang w:eastAsia="en-NZ"/>
              </w:rPr>
              <w:t>Approved restraint is only applied as a last resort, with the least amount of force, after alternative interventions have been considered or attempted and determined inadequate. The decision to approve restraint for a consumer should be made:</w:t>
              <w:br/>
              <w:t>(a) Only as a last resort to maintain the safety of consumers, service providers or others;</w:t>
              <w:br/>
              <w:t>(b) Following appropriate planning and preparation;</w:t>
              <w:br/>
              <w:t>(c) By the most appropriate health professional;</w:t>
              <w:br/>
              <w:t>(d) When the environment is appropriate and safe for successful initiation;</w:t>
              <w:br/>
              <w:t>(e) When adequate resources are assembled to ensure safe initiation.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two restraint files sampled include monitoring requirements (both half-hourly) on the monitoring form and in the care plan.  Monitoring forms are in place for both residents, but half-hourly monitoring is not always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two restraint monitoring forms sampled did not consistently document the required half-hourly monitoring.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restraint monitoring occurs within the designated timeframes and that this is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59"/>
        <w:gridCol w:w="1280"/>
        <w:gridCol w:w="1998"/>
        <w:gridCol w:w="87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through its infection control committee/infection control expert, determines the type of surveillance required and the frequency with which it is undertaken. This shall be appropriate to the size and complexity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Infection Control Committee that meets two-monthly.  Surveillance data is reviewed at this meeting and where required, corrective action plans are developed.  The Infection Control Committee undertook a post incident review following an outbreak in 2014 and identified an improvement was required around communication with families, residents and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had an infectious outbreak (norovirus) in September 2016, which affected 55 residents and 6 staff.  The appropriate notifications were made and the improved infectious outbreak protocol for communications was implemented which included: a) the use of an electronic database to keep all families informed; b) communication with all staff on and off duty on a daily basis; c) communication with all services including the development of a daily resident record; and d) daily fax communication with resident GPs regarding the health status of their patients.  In addition, the infection control awareness and management of the outbreak was contained to three days.  There were adequate resources available.  A post debrief was held for staff and feedback sought from all staff including laundry, food services and caregivers.  One of the cleaning staff was awarded the Health and Safety award of the year 2016 for her commitment to cleaning services.  The staff member placed herself on the daily roster to provide consistency around cleaning services, including the thorough post outbreak full clean of the facility.  A post outbreak staff survey validated the improvement made from the 2014 outbreak had made a positive improvement on the management of the 2016 outbreak.  Families were especially appreciative of the improved communication channels and many letters of thanks were sighted.  A further improvement from the 2016 outbreak, was the development of an infection control outbreak management video that staff view on orientation and ongoing.  The video includes the correct application of personal protective equipment.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Rosebank Residential Limited - Rosebank Home and Hospital</w:t>
    </w:r>
    <w:bookmarkEnd w:id="58"/>
    <w:r>
      <w:rPr>
        <w:rFonts w:cs="Arial"/>
        <w:sz w:val="16"/>
        <w:szCs w:val="20"/>
      </w:rPr>
      <w:tab/>
      <w:t xml:space="preserve">Date of Audit: </w:t>
    </w:r>
    <w:bookmarkStart w:id="59" w:name="AuditStartDate1"/>
    <w:r>
      <w:rPr>
        <w:rFonts w:cs="Arial"/>
        <w:sz w:val="16"/>
        <w:szCs w:val="20"/>
      </w:rPr>
      <w:t>1 May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