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The Oaks Lifestyle Care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Oaks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April 2017</w:t>
      </w:r>
      <w:bookmarkEnd w:id="7"/>
      <w:r w:rsidRPr="009418D4">
        <w:rPr>
          <w:rFonts w:cs="Arial"/>
        </w:rPr>
        <w:tab/>
        <w:t xml:space="preserve">End date: </w:t>
      </w:r>
      <w:bookmarkStart w:id="8" w:name="AuditEndDate"/>
      <w:r w:rsidR="00A4268A">
        <w:rPr>
          <w:rFonts w:cs="Arial"/>
        </w:rPr>
        <w:t>13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Oaks Lifestyle Care and Village provides rest home and hospital level care for up to 102 residents. There were 88 residents at the facility on the first day of the audit.</w:t>
      </w:r>
    </w:p>
    <w:p w:rsidRPr="00A4268A">
      <w:pPr>
        <w:spacing w:before="240" w:line="276" w:lineRule="auto"/>
        <w:rPr>
          <w:rFonts w:eastAsia="Calibri"/>
        </w:rPr>
      </w:pPr>
      <w:r w:rsidRPr="00A4268A">
        <w:rPr>
          <w:rFonts w:eastAsia="Calibri"/>
        </w:rPr>
        <w:t>This surveillance audit was conducted against the relevant aspects of the Health and Disability Services Standards and the facility’s contract with the district health board. The audit process included a review of policies and procedures; a review of resident and staff files; observations and interviews with residents, a family member, management, staff and a general practitioner.</w:t>
      </w:r>
    </w:p>
    <w:p w:rsidRPr="00A4268A">
      <w:pPr>
        <w:spacing w:before="240" w:line="276" w:lineRule="auto"/>
        <w:rPr>
          <w:rFonts w:eastAsia="Calibri"/>
        </w:rPr>
      </w:pPr>
      <w:r w:rsidRPr="00A4268A">
        <w:rPr>
          <w:rFonts w:eastAsia="Calibri"/>
        </w:rPr>
        <w:t xml:space="preserve">There were two areas requiring improvement from the last certification audit relating to recording on care plans and medication documentation and reviews have been closed out. </w:t>
      </w:r>
    </w:p>
    <w:p w:rsidRPr="00A4268A">
      <w:pPr>
        <w:spacing w:before="240" w:line="276" w:lineRule="auto"/>
        <w:rPr>
          <w:rFonts w:eastAsia="Calibri"/>
        </w:rPr>
      </w:pPr>
      <w:r w:rsidRPr="00A4268A">
        <w:rPr>
          <w:rFonts w:eastAsia="Calibri"/>
        </w:rPr>
        <w:t>There is one area for improvement identified at this audit relating to meeting timeframes for assessments and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is brought to the attention of residents and their families on admission to the facility. This is also accessible throughout the facility. Residents and family confirmed their rights are met, staff are respectful of their needs and communication is open and appropriate.</w:t>
      </w:r>
    </w:p>
    <w:p w:rsidRPr="00A4268A">
      <w:pPr>
        <w:spacing w:before="240" w:line="276" w:lineRule="auto"/>
        <w:rPr>
          <w:rFonts w:eastAsia="Calibri"/>
        </w:rPr>
      </w:pPr>
      <w:r w:rsidRPr="00A4268A">
        <w:rPr>
          <w:rFonts w:eastAsia="Calibri"/>
        </w:rPr>
        <w:t>The business and care manager is responsible for the management of complaints. Complaints are managed within the required timeframes and an up-to-date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Oaks Lifestyle Care and Village is part of Oceania Care Company Limited and is responsible for the services provided at this facility. A business plan and quality and risk management system document the scope, direction, goals, values and mission statement of the facility. </w:t>
      </w:r>
    </w:p>
    <w:p w:rsidRPr="00A4268A">
      <w:pPr>
        <w:spacing w:before="240" w:line="276" w:lineRule="auto"/>
        <w:rPr>
          <w:rFonts w:eastAsia="Calibri"/>
        </w:rPr>
      </w:pPr>
      <w:r w:rsidRPr="00A4268A">
        <w:rPr>
          <w:rFonts w:eastAsia="Calibri"/>
        </w:rPr>
        <w:t>The quality and risk management system supports the provision of clinical care at the service. The facility has an incident and accident management system that records and reports all adverse, unplanned or untoward events. This includes the required statutory and regulatory reporting. Systems are in place for monitoring adverse events and the quality of services provided. Quality and risk performance is reported through meetings at the facility and monitored by the organisation‘s management team through the business status and clinical indicator reports. Corrective action plans are documented with evidence of the resolution of identified issues.</w:t>
      </w:r>
    </w:p>
    <w:p w:rsidRPr="00A4268A">
      <w:pPr>
        <w:spacing w:before="240" w:line="276" w:lineRule="auto"/>
        <w:rPr>
          <w:rFonts w:eastAsia="Calibri"/>
        </w:rPr>
      </w:pPr>
      <w:r w:rsidRPr="00A4268A">
        <w:rPr>
          <w:rFonts w:eastAsia="Calibri"/>
        </w:rPr>
        <w:t xml:space="preserve">The service is managed by a business and care manager who is supported in their role by a clinical manager. The clinical manager is responsible for the oversight of the clinical service provision in the facility. Human resource policies are current and implemented. Registered nurses are on duty 24 hours a day and are supported by adequate levels of care and allied health staff across the facility. On-call arrangements for support from senior staff are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residents’ long-term care plan interventions are detailed to address the residents’ care needs and evaluated when a resident’s condition alters or six monthly. The short-term care plans are developed for short-term problems and evaluated in a timely manner.</w:t>
      </w:r>
    </w:p>
    <w:p w:rsidRPr="00A4268A" w:rsidP="00621629">
      <w:pPr>
        <w:spacing w:before="240" w:line="276" w:lineRule="auto"/>
        <w:rPr>
          <w:rFonts w:eastAsia="Calibri"/>
        </w:rPr>
      </w:pPr>
      <w:r w:rsidRPr="00A4268A">
        <w:rPr>
          <w:rFonts w:eastAsia="Calibri"/>
        </w:rPr>
        <w:t xml:space="preserve">Planned activities are appropriate to the needs, age and culture of the residents. Residents reported activities are enjoyable and meaningful to them. </w:t>
      </w:r>
    </w:p>
    <w:p w:rsidRPr="00A4268A" w:rsidP="00621629">
      <w:pPr>
        <w:spacing w:before="240" w:line="276" w:lineRule="auto"/>
        <w:rPr>
          <w:rFonts w:eastAsia="Calibri"/>
        </w:rPr>
      </w:pPr>
      <w:r w:rsidRPr="00A4268A">
        <w:rPr>
          <w:rFonts w:eastAsia="Calibri"/>
        </w:rPr>
        <w:t>The medicine management system is documented and implemented. Staff medication competencies are maintained. There were no residents self-administering medications at the facility on audit days.</w:t>
      </w:r>
    </w:p>
    <w:p w:rsidRPr="00A4268A" w:rsidP="00621629">
      <w:pPr>
        <w:spacing w:before="240" w:line="276" w:lineRule="auto"/>
        <w:rPr>
          <w:rFonts w:eastAsia="Calibri"/>
        </w:rPr>
      </w:pPr>
      <w:r w:rsidRPr="00A4268A">
        <w:rPr>
          <w:rFonts w:eastAsia="Calibri"/>
        </w:rPr>
        <w:t>Food services meet food safety guidelines and legislation. The individual food, fluids and nutritional needs of the residents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on display.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practice policies and procedures record the safe use of restraints and enablers and comply with this standard. There were four residents using restraints or eight residents who had requested the use of enablers at the facility during the on-site audit. Staff interviewed demonstrated an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activities are appropriate to the size and scope of the services provided. Infection control management systems are in place to minimise the risk of infection to residents, visitors and staff. Infection data is collated monthly, analysed and reported to Oceania Care Company Limited support office, management and staff. Results of the surveillance are acted upon, evaluated and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85"/>
        <w:gridCol w:w="1280"/>
        <w:gridCol w:w="97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facility’s complaints policy, procedures and timelines are in line with the Code, including the correct timeframes for responding to a complaint. Complaint forms were observed to be available in the facility. Family and residents interviewed confirmed they know how to lodge a complaint.  The BCM is responsible for the management of complaints.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reviewed had been managed in line with policy and Right 10 of the Code and included signoff and implementation of corrective actions when required. An up-to-date complaints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BCM reported that there have been no investigations by the Health and Disability Commissioner or any other external agencies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provided to residents and their families on admission includes information about the facility, the Health and Disability Commissioner‘s Code of Health and Disability Services Consumers‘ Rights (the Code), the complaints process and the nationwide Health and Disability Advocacy. This information is also available throughout the facility and discussed at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The resident admission agreement, signed by residents or their representative on entry to the service, details those services that are included in service provision and those the resident is required to pay for.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monthly resident meetings inform residents of facility activities and updates. The resident meeting minutes reviewed evidenced a variety of subjects are discussed. They also provide an opportunity for residents to discuss issues and concerns with the business and care manager (BCM). Minutes of resident meetings were sighted. </w:t>
            </w:r>
          </w:p>
          <w:p w:rsidR="00EB7645" w:rsidRPr="00BE00C7" w:rsidP="00BE00C7">
            <w:pPr>
              <w:pStyle w:val="OutcomeDescription"/>
              <w:spacing w:before="120" w:after="120"/>
              <w:rPr>
                <w:rFonts w:cs="Arial"/>
                <w:b w:val="0"/>
                <w:lang w:eastAsia="en-NZ"/>
              </w:rPr>
            </w:pPr>
            <w:r w:rsidRPr="00BE00C7">
              <w:rPr>
                <w:rFonts w:cs="Arial"/>
                <w:b w:val="0"/>
                <w:lang w:eastAsia="en-NZ"/>
              </w:rPr>
              <w:t>A review of residents’ clinical files evidenced timely and open communication with residents and family members. Communication with family members is recorded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confirmed that residents’ rights are being met, staff are respectful of residents’ needs, and residents and their families are kept fully informed in a timely and appropriate manner. This includes contacting relatives regarding any change in a resident’s condition or if any adverse event occurs. This was evidenced in the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poster, in multiple languages, advises that interpreter services can be accessed through language line if required. There were no residents at the facility requiring interpreter services on audit days. Staff interviewed confirmed that in the past staff or a resident’s family member had provided interpreter services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Oaks Lifestyle Care and Village is part of Oceania Care Company Limited (Oceania) and is responsible for the services provided at this facility. The Oceania executive management team provide support to the facility and the regional clinical manager provided support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between the facility and the Oceania regional clinical manager takes place on at least a monthly basis. The monthly business status report provides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documented mission statement, values and goals. These are communicated to residents, staff and families through posters on the wall, information in booklets and in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business and care manager (BCM) who has 35 years business management experience and has been in this position for 3 years. The clinical service delivery is overseen by the clinical manager (CM) who is a registered nurse (RN). The CM has been in this position for three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105 beds and can provide care for up to 102 residents under the facility’s current certification.  There were 88 beds occupied on the first day of the audit. This included 46 residents requiring rest home level care and 42 residents requiring hospital level care. Of these, two residents, assessed as requiring rest home level care, were identified as being under the young people with disability contract; and one resident, assessed as requiring hospital level care, was identified as under the long-term chronic conditions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the Oceania documented quality and risk management framework to guide practice. The facility implements Oceania policies and procedures to support service delivery. All policies have evidence of timely review and are current. Policies are linked to the Health and Disability Sector Standards, current and applicable legislation, and evidenced-based best practice guidelines. Staff interviews confirmed that policies are available to staff and that they are informed of new and revised policies, through staff meetings. Staff sign to confirm that they have received these.</w:t>
            </w:r>
          </w:p>
          <w:p w:rsidR="00EB7645" w:rsidRPr="00BE00C7" w:rsidP="00BE00C7">
            <w:pPr>
              <w:pStyle w:val="OutcomeDescription"/>
              <w:spacing w:before="120" w:after="120"/>
              <w:rPr>
                <w:rFonts w:cs="Arial"/>
                <w:b w:val="0"/>
                <w:lang w:eastAsia="en-NZ"/>
              </w:rPr>
            </w:pPr>
            <w:r w:rsidRPr="00BE00C7">
              <w:rPr>
                <w:rFonts w:cs="Arial"/>
                <w:b w:val="0"/>
                <w:lang w:eastAsia="en-NZ"/>
              </w:rPr>
              <w:t>Oceania has processes in place for the facility to implement the quality and risk management system and monitor the key components of service delivery. This includes reporting systems that demonstrate the collection; collation and identification of trends; and analysis of data. Results are reported to staff.</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schedule is implemented and results are communicated to staff and where relevant and appropriate to residents. The 2016 family and resident satisfaction survey shows satisfaction with services provided and this was confirmed through resident interviews. Opportunities for improvement arising from the survey have been implemented. The satisfaction survey results are not compared with previous survey results for comparison of data or reported to Oceania. The March 2017 survey has been deferred until May 2017 to accommodate feedback on the recent outsourcing of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risk management programme in place. Health and safety policies and procedures are documented along with a hazard management programme. There is evidence that hazard identification forms are completed when a hazard is identified, hazards are addressed, and risks minimised or isolated. Health and safety is audited monthly with a facility health check completed by the clinical and quality manager. Staff interviews confirmed that staff have training related to health and safety processes and an awareness of the importance of reporting hazards, accidents and incidents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confirmed an understanding of the circumstances and events that require the facility to report to and notify statutory authorities. Where an authority has been notified, this is documented and retained in the relevant file. There have been two notifications to HealthCERT.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that the facility provides an environment that encourages and facilitates staff to recognise and report errors or mistakes. Staff records reviewed demonstrated that staff receive education during orientation on the incident and accident reporting process. Staff interviewed confirmed an understanding of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identified that family and the GP had been notified and that incidents and accidents had been followed up and signed off. The information gathered is regularly discussed at staff meetings with 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human resource policy and processes are in place and have been implemented. All RNs hold current annual practising certificates (APC). The current visiting practitioners’ practising certificates, including: general practitioners; pharmacists; dietitian and podiatrist, are current. Staff files include employment documentation. An annual appraisal process is in place and staff interviews and files reviewed confirmed that all staff have received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orientation programme is available for staff and staff files show completion of orientation and that the competency sign off process is completed. Staff interviews confirmed that orientation was appropriate and sufficient for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Mandatory training is identified on an Oceania wide training schedule. A training and competency file is held for all staff and an electronic spread sheet of all training and orientation undertaken is maintained. This also serves as a bring-up system for compulsory training and competency requirements. The training register and training attendance sheets show staff completion of annual competencies, including medication. </w:t>
            </w:r>
          </w:p>
          <w:p w:rsidR="00EB7645" w:rsidRPr="00BE00C7" w:rsidP="00BE00C7">
            <w:pPr>
              <w:pStyle w:val="OutcomeDescription"/>
              <w:spacing w:before="120" w:after="120"/>
              <w:rPr>
                <w:rFonts w:cs="Arial"/>
                <w:b w:val="0"/>
                <w:lang w:eastAsia="en-NZ"/>
              </w:rPr>
            </w:pPr>
            <w:r w:rsidRPr="00BE00C7">
              <w:rPr>
                <w:rFonts w:cs="Arial"/>
                <w:b w:val="0"/>
                <w:lang w:eastAsia="en-NZ"/>
              </w:rPr>
              <w:t>Education and training hours exceed eight hours a year for all staff reviewed. Six RNs have fully completed the interRAI training and one RN is undergoing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are managed to ensure the numbers and appropriate skill mix of staff are available to meet the number of residents, current and anticipated workloads, as well as the levels required due to changes in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reviewed reflected staffing levels that meet resident acuity, bed occupancy and the staffing requirements as per contract in relation to the level of care required. There is a process in place to source additional staff in periods of unplanned absences. </w:t>
            </w:r>
          </w:p>
          <w:p w:rsidR="00EB7645" w:rsidRPr="00BE00C7" w:rsidP="00BE00C7">
            <w:pPr>
              <w:pStyle w:val="OutcomeDescription"/>
              <w:spacing w:before="120" w:after="120"/>
              <w:rPr>
                <w:rFonts w:cs="Arial"/>
                <w:b w:val="0"/>
                <w:lang w:eastAsia="en-NZ"/>
              </w:rPr>
            </w:pPr>
            <w:r w:rsidRPr="00BE00C7">
              <w:rPr>
                <w:rFonts w:cs="Arial"/>
                <w:b w:val="0"/>
                <w:lang w:eastAsia="en-NZ"/>
              </w:rPr>
              <w:t>The BCM is available on call and there are systems in place to obtain additional RN support if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that there is sufficient staff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is documented and implemented and complies with legislation, protocols and guidelines. The service uses pharmacy pre-packaged medicine that is checked by the RN on delivery. A computer based medication system is used. Weekly checks and six-monthly controlled drugs stocktakes are conducted. The controlled drugs registers were correct and current. The medication fridge temperatures are monitored. A system is in place for returning expired or unwanted medications to the pharmacy.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medication complied with the medicine administration policies and procedures. Current medication competencies were evident in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self-administered medications on audit days. Policies and procedures are in place to ensure safe storage and compliance in relation to self-administration of medications.</w:t>
            </w:r>
          </w:p>
          <w:p w:rsidR="00EB7645" w:rsidRPr="00BE00C7" w:rsidP="00BE00C7">
            <w:pPr>
              <w:pStyle w:val="OutcomeDescription"/>
              <w:spacing w:before="120" w:after="120"/>
              <w:rPr>
                <w:rFonts w:cs="Arial"/>
                <w:b w:val="0"/>
                <w:lang w:eastAsia="en-NZ"/>
              </w:rPr>
            </w:pPr>
            <w:r w:rsidRPr="00BE00C7">
              <w:rPr>
                <w:rFonts w:cs="Arial"/>
                <w:b w:val="0"/>
                <w:lang w:eastAsia="en-NZ"/>
              </w:rPr>
              <w:t>The area requiring improvement from last certification around three monthly medicine reviews, documenting allergies and correct prescribing of as required (PRN) medicines,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on site and served in the respective dining rooms. The seasonal menu has been reviewed by a dietitian. The kitchen staff have current food handling certificates. Diets are modified as required and the chef confirmed awareness of the dietary needs of residents. The residents’ dietary profiles are developed on admission and identify the residents’ dietary requirements and preferences. The dietary profiles are communicated to kitchen staff on a resident’s admission to the facility, when a resident’s dietary needs change and when dietary profiles are reviewed six monthly. Supplements are provided to residents with identified weight loss issues. Residents’ weights are monitored monthly or more frequently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of food, fridges and freezers are maintained. Regular cleaning is undertaken and all services comply with current legislation and guidelines.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and the short-term care plans are developed by the RNs. The care plan interventions in both the long-term and the short-term care plans are detailed to address the desired goals/outcomes of the residents. Changes in a resident’s condition are reported in a timely manner to the GP, as confirmed at GP interview.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such as: weights; vital signs; wounds and challenging behaviour. The wound assessments and wound management plans are in place for residents who require them. There is access to specialist services when needed. Referrals are initiated by the GP or by the RNs. </w:t>
            </w:r>
          </w:p>
          <w:p w:rsidR="00EB7645" w:rsidRPr="00BE00C7" w:rsidP="00BE00C7">
            <w:pPr>
              <w:pStyle w:val="OutcomeDescription"/>
              <w:spacing w:before="120" w:after="120"/>
              <w:rPr>
                <w:rFonts w:cs="Arial"/>
                <w:b w:val="0"/>
                <w:lang w:eastAsia="en-NZ"/>
              </w:rPr>
            </w:pPr>
            <w:r w:rsidRPr="00BE00C7">
              <w:rPr>
                <w:rFonts w:cs="Arial"/>
                <w:b w:val="0"/>
                <w:lang w:eastAsia="en-NZ"/>
              </w:rPr>
              <w:t>Clinical supplies are available and staff confirmed they have access to medical supplies and equipment. Residents and family members interviewed reported satisfaction with the care and support they are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programme is developed by the diversional therapist (DT). The activities programme was implemented five days a week, however, following residents’ request for activities to be provided more than five days a week, the activities programme commenced to be provided from Monday to Saturday the week of audit.</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conducted by the DT within the three weeks of the residents’ admission to the facility. Residents’ interests are gathered during an interview with the resident and their family. The activity care plan is part of the long-term care plan and reflects the residents’ preferred activities. There was evidence the activities staff are part of the evaluation process.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Over the course of the audit residents were observed engaging in a variety of activities and outings.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conducted bimonthly and a meeting was held on day of audit. Past minutes of residents’ meetings are displayed on notice board for resident and family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and the short-term care plans are evaluated in a comprehensive and timely manner. The evaluations include the residents’ degrees of achievement towards meeting the desired goals/outcomes. Residents’ responses to the treatment regime is documented. Changes in the interventions are initiated when the desired goals/outcomes are not achieved.</w:t>
            </w:r>
          </w:p>
          <w:p w:rsidR="00EB7645" w:rsidRPr="00BE00C7" w:rsidP="00BE00C7">
            <w:pPr>
              <w:pStyle w:val="OutcomeDescription"/>
              <w:spacing w:before="120" w:after="120"/>
              <w:rPr>
                <w:rFonts w:cs="Arial"/>
                <w:b w:val="0"/>
                <w:lang w:eastAsia="en-NZ"/>
              </w:rPr>
            </w:pPr>
            <w:r w:rsidRPr="00BE00C7">
              <w:rPr>
                <w:rFonts w:cs="Arial"/>
                <w:b w:val="0"/>
                <w:lang w:eastAsia="en-NZ"/>
              </w:rPr>
              <w:t>The short-term care plans are developed when needed and record goals and the required interventions for the identified short-term problems. The short-term care plans reviewed were signed, dated and closed out when the short-term problem had resolved. The previous area requiring improvement relating to short-term care plans and care plan evaluations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displayed in the entrance of the facility. There have been no any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policy identifies the requirements around the surveillance of infections and the type of surveillance to be undertaken. Infection logs are maintained for infection events and collated monthly by the clinical manager. The clinical manager is the infection control nurse. The collated infection control information is communicated as clinical indicators to the Oceania support office and to management and staff. The clinical indicators are reviewed by the Oceania clinical quality team and reported to the Oceania board.</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the residents diagnosed with an infection had short-term care plans in place. The GP interview confirmed any suspected infection is reported to the GP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clinical manager confirmed there had been no outbreaks at the facility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restraint minimisation and safe practice handbook and policies comply with this standard and relevant legislation.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clinical manager. A signed position description was sighted. There were four residents using restraints and eight enablers requested to be used by residents on audit days. The restraint register is maintained and current. The required documentation relating to restraint and enabler use is recorded. The residents’ documentation relating to enabler use confirmed the enablers are requested by the residents and the least restrictive options to promote the residents’ independence and safety is used.</w:t>
            </w:r>
          </w:p>
          <w:p w:rsidR="00EB7645" w:rsidRPr="00BE00C7" w:rsidP="00BE00C7">
            <w:pPr>
              <w:pStyle w:val="OutcomeDescription"/>
              <w:spacing w:before="120" w:after="120"/>
              <w:rPr>
                <w:rFonts w:cs="Arial"/>
                <w:b w:val="0"/>
                <w:lang w:eastAsia="en-NZ"/>
              </w:rPr>
            </w:pPr>
            <w:r w:rsidRPr="00BE00C7">
              <w:rPr>
                <w:rFonts w:cs="Arial"/>
                <w:b w:val="0"/>
                <w:lang w:eastAsia="en-NZ"/>
              </w:rPr>
              <w:t>The national restraint authority group meeting review of restraint practices annually including: the type of restraints used; extent of restraint use and trends; progress in reducing restraint use nationally; adverse outcomes from restraint use; and staff compliance of the restraint standard. Nationally the data shows there has been significant reduction in restraint use. Staff receive restraint education via the Oceania study days and RN study days.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9"/>
        <w:gridCol w:w="1280"/>
        <w:gridCol w:w="7261"/>
        <w:gridCol w:w="1437"/>
        <w:gridCol w:w="14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files evidenced the initial risk assessments, including interRAI assessments, were not consistently conducted in the required timeframes. The initial risk assessments were not completed in the required timeframe in five of the eight files reviewed. The interRAI assessments were not completed within three weeks of the residents’ admissions in the two of the eight files reviewed. The six monthly interRAI reassessments were completed in the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 initial care plans were not consistently completed in the required timeframe in three of the eight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were not completed within three weeks of admission in three of the eight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assesses the new residents within the required timeframe and indicates if the resident is stable to be medically reassessed in three months’ time or if the GP requests to see the resident monthly. The review of the hospital tracer evidenced this request for monthly medical reviews was not followed. Additional sampling of eight clinical files was under taken relating to GP requests to reassess residents more frequently than three monthly. Of the additional eight files reviewed these requests were not followed in six residents’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care timeframes are inconsistently adhered to when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timeframes relating to clinical care of residents are adhered to as per policy, Health and Disability Standards and the ARC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The Oaks Lifestyle Care &amp; Village</w:t>
    </w:r>
    <w:bookmarkEnd w:id="58"/>
    <w:r>
      <w:rPr>
        <w:rFonts w:cs="Arial"/>
        <w:sz w:val="16"/>
        <w:szCs w:val="20"/>
      </w:rPr>
      <w:tab/>
      <w:t xml:space="preserve">Date of Audit: </w:t>
    </w:r>
    <w:bookmarkStart w:id="59" w:name="AuditStartDate1"/>
    <w:r>
      <w:rPr>
        <w:rFonts w:cs="Arial"/>
        <w:sz w:val="16"/>
        <w:szCs w:val="20"/>
      </w:rPr>
      <w:t>12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