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Duart Lifestyle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Duart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March 2017</w:t>
      </w:r>
      <w:bookmarkEnd w:id="7"/>
      <w:r w:rsidRPr="009418D4">
        <w:rPr>
          <w:rFonts w:cs="Arial"/>
        </w:rPr>
        <w:tab/>
        <w:t xml:space="preserve">End date: </w:t>
      </w:r>
      <w:bookmarkStart w:id="8" w:name="AuditEndDate"/>
      <w:r w:rsidR="00A4268A">
        <w:rPr>
          <w:rFonts w:cs="Arial"/>
        </w:rPr>
        <w:t>28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Duart Rest Home provides rest home and hospital level care for up to 66 residents. There were 59 residents at the facility on the days of audit. </w:t>
      </w:r>
    </w:p>
    <w:p w:rsidRPr="00A4268A">
      <w:pPr>
        <w:spacing w:before="240" w:line="276" w:lineRule="auto"/>
        <w:rPr>
          <w:rFonts w:eastAsia="Calibri"/>
        </w:rPr>
      </w:pPr>
      <w:r w:rsidRPr="00A4268A">
        <w:rPr>
          <w:rFonts w:eastAsia="Calibri"/>
        </w:rPr>
        <w:t xml:space="preserve">The surveillance audit was conducted against the relevant aspects of the Health and Disability Services Standards and the facility’s contract with the district health board. The audit process included a review of policies and procedures, review of residents’ and staff files, observations and interviews with residents, management, staff and a general practitioner. </w:t>
      </w:r>
    </w:p>
    <w:p w:rsidRPr="00A4268A">
      <w:pPr>
        <w:spacing w:before="240" w:line="276" w:lineRule="auto"/>
        <w:rPr>
          <w:rFonts w:eastAsia="Calibri"/>
        </w:rPr>
      </w:pPr>
      <w:r w:rsidRPr="00A4268A">
        <w:rPr>
          <w:rFonts w:eastAsia="Calibri"/>
        </w:rPr>
        <w:t>There were no areas requiring improvement at the last certification audit and none were identified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and their families on admission to the facility. Residents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The business and care manager is responsible for the management of complaints, and a complaints register is maintained and up to date.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is the governing body and is responsible for the services provided at this facility. A business plan and quality and risk management systems document the scope, direction, goals, values and mission statement of the facility. </w:t>
      </w:r>
    </w:p>
    <w:p w:rsidRPr="00A4268A">
      <w:pPr>
        <w:spacing w:before="240" w:line="276" w:lineRule="auto"/>
        <w:rPr>
          <w:rFonts w:eastAsia="Calibri"/>
        </w:rPr>
      </w:pPr>
      <w:r w:rsidRPr="00A4268A">
        <w:rPr>
          <w:rFonts w:eastAsia="Calibri"/>
        </w:rPr>
        <w:t xml:space="preserve">The facility has an incident and accident management system that records and reports all adverse, unplanned or untoward events, including appropriate statutory and regulatory reporting. </w:t>
      </w:r>
    </w:p>
    <w:p w:rsidRPr="00A4268A">
      <w:pPr>
        <w:spacing w:before="240" w:line="276" w:lineRule="auto"/>
        <w:rPr>
          <w:rFonts w:eastAsia="Calibri"/>
        </w:rPr>
      </w:pPr>
      <w:r w:rsidRPr="00A4268A">
        <w:rPr>
          <w:rFonts w:eastAsia="Calibri"/>
        </w:rPr>
        <w:t xml:space="preserve">The quality and risk management system supports the provision of clinical care at the service. Systems are in place for monitoring adverse events and the quality of services provided. Quality and risk performance is reported through meetings at the facility and monitored by the organisation‘s management team through the business status and clinical indicator reports. Corrective action plans are documented with evidence of resolution of identified issues. </w:t>
      </w:r>
    </w:p>
    <w:p w:rsidRPr="00A4268A">
      <w:pPr>
        <w:spacing w:before="240" w:line="276" w:lineRule="auto"/>
        <w:rPr>
          <w:rFonts w:eastAsia="Calibri"/>
        </w:rPr>
      </w:pPr>
      <w:r w:rsidRPr="00A4268A">
        <w:rPr>
          <w:rFonts w:eastAsia="Calibri"/>
        </w:rPr>
        <w:t>The service is managed by a business and care manager who is supported in their role by a clinical manager. The clinical manager is responsible for the oversight of the clinical service provision in the facility. Staffing levels are adequate across the service. Human resource policies are current and implemented. Registered nurses are on duty 24 hours a day and are supported by adequate levels of care and allied health staff. On-call arrangements for support from senior staff are in place.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by the multidisciplinary team on admission within the required timeframes. Shift handovers guide continuity of care.</w:t>
      </w:r>
    </w:p>
    <w:p w:rsidRPr="00A4268A" w:rsidP="00621629">
      <w:pPr>
        <w:spacing w:before="240" w:line="276" w:lineRule="auto"/>
        <w:rPr>
          <w:rFonts w:eastAsia="Calibri"/>
        </w:rPr>
      </w:pPr>
      <w:r w:rsidRPr="00A4268A">
        <w:rPr>
          <w:rFonts w:eastAsia="Calibri"/>
        </w:rPr>
        <w:t>Person centred care plans are individualised, based on a comprehensive and integrated range of clinical information. Short-term care plans are developed to manage any new problems. All residents’ records reviewed demonstrate that needs, goals and outcomes are identified and reviewed on a regular basis. Residents and families interviewed reported being well informed and involved in care planning and evaluation, and that care provided is of a high standard.</w:t>
      </w:r>
    </w:p>
    <w:p w:rsidRPr="00A4268A" w:rsidP="00621629">
      <w:pPr>
        <w:spacing w:before="240" w:line="276" w:lineRule="auto"/>
        <w:rPr>
          <w:rFonts w:eastAsia="Calibri"/>
        </w:rPr>
      </w:pPr>
      <w:r w:rsidRPr="00A4268A">
        <w:rPr>
          <w:rFonts w:eastAsia="Calibri"/>
        </w:rPr>
        <w:t>The planned activity programme is managed by a qualified diversional therapist. The programme provides residents with a variety of individual and group activities and maintains their links with the community. A facility bus is available for outings in the community.</w:t>
      </w:r>
    </w:p>
    <w:p w:rsidRPr="00A4268A" w:rsidP="00621629">
      <w:pPr>
        <w:spacing w:before="240" w:line="276" w:lineRule="auto"/>
        <w:rPr>
          <w:rFonts w:eastAsia="Calibri"/>
        </w:rPr>
      </w:pPr>
      <w:r w:rsidRPr="00A4268A">
        <w:rPr>
          <w:rFonts w:eastAsia="Calibri"/>
        </w:rPr>
        <w:t>Medicines are managed according to policies and procedure, in alignment with legislative requirements and consistently implemented using an electronic system. Medications are administered by registered nurses and senior healthcare assistants, all of whom have been assessed as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A food safety plan and policies guide food service delivery, supported by staff with food safety qualifications. The kitchen was well organised, clean and meets food safety standards.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is in place.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and six restraints were in use at the time of audit. Restraint is only used as a last resort when all other options have been explored. Enabler use is voluntary for the safety of residents in response to individual requests. Staff receive training at orientation/induction and annually on all required aspects of restraint and enabler use, alternatives to restraint and dealing with difficult behaviours. Staff demonstrated an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trended and benchmarked. Results are reported through all levels of the organisation. Follow-up action is taken as and when required. Staff demonstrated good principles and practice around infection control, which is guided by relevant policies and is supported with regular education.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8"/>
        <w:gridCol w:w="1280"/>
        <w:gridCol w:w="100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Health and Disability Commissioner’s (HDC) Code of Health and Disability Services Consumers‘ Rights (the Code) and include timeframes for responding to a complaint. Complaint forms were observed to be available in the facility and family and residents interviewed confirmed that they know how to obtain a form.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to residents and their families as part of the information admission pack. The resident admission agreement, signed by residents or their representative on entry to the service, details the services that are included in service provision and those that are paid for by the resident.</w:t>
            </w:r>
          </w:p>
          <w:p w:rsidR="00EB7645" w:rsidRPr="00BE00C7" w:rsidP="00BE00C7">
            <w:pPr>
              <w:pStyle w:val="OutcomeDescription"/>
              <w:spacing w:before="120" w:after="120"/>
              <w:rPr>
                <w:rFonts w:cs="Arial"/>
                <w:b w:val="0"/>
                <w:lang w:eastAsia="en-NZ"/>
              </w:rPr>
            </w:pPr>
            <w:r w:rsidRPr="00BE00C7">
              <w:rPr>
                <w:rFonts w:cs="Arial"/>
                <w:b w:val="0"/>
                <w:lang w:eastAsia="en-NZ"/>
              </w:rPr>
              <w:t>Family meetings inform family members of facility activities and provide an opportunity for family members to discuss issues/concerns with management. Minutes of family meetings were sighted. The last residents’ meeting was held in January 2017 and discussions relating to laundry, food, housekeeping, activities and the refurbishment were included. Review of residents’ clinical files evidenced timely and open communication with residents and family members. Communication with family members is recorded in the progress notes and on the family communication sheets.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management and families, confirmed family members are kept informed about any change in a resident’s condition and if any adverse event occurs and this was evidenced in the clinical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cards, available in multiple languages, advise that interpreter services can be accessed from the district health board (DHB), if required. There were no residents at the facility requiring interpreter services on audit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Duart Rest Home is part of the Oceania Care Company Limited (Oceania) with the company’s executive management team providing support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between the facility and the managers takes place on at least a monthly basis. The clinical and quality manager and the operations manager provided support during the audit. The monthly business status report provides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company has a documented mission statement, values and goals. These are communicated to residents, staff and family through posters on the wall, information in booklets and in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66 residents with 59 beds occupied at the audit. This included 25 residents requiring rest home level care and 29 residents requiring hospital level care. In addition two residents were identified as being under the young people with disability contract two residents were identified as being under the mental health and addictions contract, and one resident was identified as under the long term chronic conditions contract.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clinical care service is overseen by the clinical manager (CM) who is a RN. The CM has been acting in this position for approximately four months and was recently appointed permanently to the position. The CM has past experience in clinical management at another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Oceania Care Company Limited’s documented quality and risk management framework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Care Company Limited has processes in place for the facility to implement the quality and risk management system and monitor the key components of service delivery. There are reporting systems that demonstrate the collection, collation, and identification of trends and analysis of data. An internal audit schedule is implemented and results are communicated to staff. The 2016 family and resident satisfaction survey shows satisfaction with services provided and this was confirmed through resident interviews. The satisfaction survey results record the current and previous survey results for comparison of data, which evidenced improvement in the results of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risk management programme in place. Health and safety policies and procedures are documented along with a hazard management programme. There is evidence that hazard identification forms are completed when a hazard is identified and that hazards are addressed and risks minimised or isolated. Health and safety is audited monthly with a facility health check completed by the clinical and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risk management programme in place. Health and safety policies and procedures are documented along with a hazard management programme. There is evidence that hazard identification forms are completed when a hazard is identified and that hazards are addressed and risks minimised or isolated. Health and safety is audited monthly with a facility health check completed by the clinical and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have evidence of timely review and are current. Policies are linked to the Health and Disability Sector Standards, current and applicable legislation, and evidenced-based best practice guidelines. Policies are available to staff and staff are informed of new and revised policies, through staff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and CM confirmed an understanding and awareness of the circumstances and events that require the facility to report to and notify statutory authorities, including police attending the facility, unexpected deaths, critical incidents and infectious disease outbreaks. Where an authority has been notified, this is documented and retained in the relevant file. This includes the recent notification of the new CM to HealthCERT.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confirmed that the facility provides an environment that encourages and facilitates staff to recognise and report errors or mistakes. Staff records reviewed demonstrates that staff receive education during orientation on the incident and accident reporting process. Staff interviewed confirmed understanding of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had corresponding notes in the clinical record to inform staff of the incident. There is evidence of open disclosure for each recorded event. Information gathered is regularly shared at monthly meetings with 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policy and processes are in place. All RNs hold current annual practising certificates (APC). The current visiting practitioners’ practising certificates reviewed, including: general practitioners; pharmacists; dietitian; podiatrist; and physiotherapist, are current. Staff files include employment documentation. An annual appraisal process is in place with all applicable staff having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 programme is available for staff. Staff state that there is improved satisfaction with the revised orientation process. Staff files show completion of orientation. Staff interviews described the buddy system in place and that the competency sign off process is completed. </w:t>
            </w:r>
          </w:p>
          <w:p w:rsidR="00EB7645" w:rsidRPr="00BE00C7" w:rsidP="00BE00C7">
            <w:pPr>
              <w:pStyle w:val="OutcomeDescription"/>
              <w:spacing w:before="120" w:after="120"/>
              <w:rPr>
                <w:rFonts w:cs="Arial"/>
                <w:b w:val="0"/>
                <w:lang w:eastAsia="en-NZ"/>
              </w:rPr>
            </w:pPr>
            <w:r w:rsidRPr="00BE00C7">
              <w:rPr>
                <w:rFonts w:cs="Arial"/>
                <w:b w:val="0"/>
                <w:lang w:eastAsia="en-NZ"/>
              </w:rPr>
              <w:t>Mandatory training is identified on an Oceania wide training schedule. A training and competency file is held for all staff, with folders of attendance records and training with electronic documentation of all training held. The service has a varied approach to ensuring that staff receive annual training that includes attendance at training sessions and annual individualised training around core topics. Registered nurses have an hour of training at clinical staff meetings. The training register and training attendance sheets show staff completion of annual competencies, including medication. Four RNs have fully completed the interRAI training, one RN has completed the theory and one RN is enrolled in the next course available.</w:t>
            </w:r>
          </w:p>
          <w:p w:rsidR="00EB7645" w:rsidRPr="00BE00C7" w:rsidP="00BE00C7">
            <w:pPr>
              <w:pStyle w:val="OutcomeDescription"/>
              <w:spacing w:before="120" w:after="120"/>
              <w:rPr>
                <w:rFonts w:cs="Arial"/>
                <w:b w:val="0"/>
                <w:lang w:eastAsia="en-NZ"/>
              </w:rPr>
            </w:pPr>
            <w:r w:rsidRPr="00BE00C7">
              <w:rPr>
                <w:rFonts w:cs="Arial"/>
                <w:b w:val="0"/>
                <w:lang w:eastAsia="en-NZ"/>
              </w:rPr>
              <w:t>Education and training hours exceed eight hours a year for all staff reviewed. Healthcare assistants (HCA) have completed level three or four training around aged care. The HCAs stated they value the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are reviewed for current and anticipated workloads, identified numbers and appropriate skill mix of staff and the number of residents, as well as the levels required due to changes in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reviewed reflected staffing levels that meet resident acuity, bed occupancy and the staffing requirements as per contract in relation to the level of care required. There is a process in place to source additional staff in periods of unplanned absences. Residents requiring rest home level of care are encouraged to be as independent as possible. </w:t>
            </w:r>
          </w:p>
          <w:p w:rsidR="00EB7645" w:rsidRPr="00BE00C7" w:rsidP="00BE00C7">
            <w:pPr>
              <w:pStyle w:val="OutcomeDescription"/>
              <w:spacing w:before="120" w:after="120"/>
              <w:rPr>
                <w:rFonts w:cs="Arial"/>
                <w:b w:val="0"/>
                <w:lang w:eastAsia="en-NZ"/>
              </w:rPr>
            </w:pPr>
            <w:r w:rsidRPr="00BE00C7">
              <w:rPr>
                <w:rFonts w:cs="Arial"/>
                <w:b w:val="0"/>
                <w:lang w:eastAsia="en-NZ"/>
              </w:rPr>
              <w:t>The BCM and CM share on call on a week by week basis.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 that there is sufficient staff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reviewed are current and identify all aspects of medicine management in line with the medicines care guide for residential aged care and legislative requirements. Oceania Care Company Limited has adopted the medi-map system for administration and this is working effectively and safely for this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this electronic system was observed on the day of the audit. The staff observed demonstrated knowledge and had a clear understanding of their roles and responsibilities related to each stage of medicine management. All staff who administer medicines are competent to perform the function they manage. There are separate competency requirements for the registered nurses and senior healthcare assistants. The clinical manager has a system in place for these competencies to be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Medication is supplied to the facility in a pre-packaged format from a contracted pharmacy. These medications are checked by a registered nurse against the prescriptions. All stock medications sighted were within current use by dates. Clinical pharmacist input is provided by the contracted pharmacist and the DHB community clinical pharmacist completes rounds with the residents’ GP weekly. The community clinical pharmacist and the GP were interviewed on the day of the audit. The contracted clinical pharmacist completes a medication reconciliation for all residents on admission to this service and a copy is placed in each individual resident record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is stored and managed in accordance with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observed. The required three monthly reviews dates are recorded electronically. Allergies/sensitivities are electronically recorded on the individual medication records and on the medical records in the individual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medications at the time of the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medication errors are reported to the clinical manager and recorded on an incident form. The resident and/or the designated representative would be notified. There is a process for comprehensive analysis of any medication errors, and compliance with this process is able to be verified. There are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an experienced qualified chef and kitchen hand and is in line with recognised nutritional guidelines for older people. The menu follows summer and winter patterns and has been reviewed by the Oceania qualified dietitian within the last two years. Recommendations made at the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daily. The kitchen manager has undertaken a safe food handling qualification, and the kitchen hands have completed relevant food handling and infection control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this facility by the registered nurse. The dietary profile is developed and a copy is provided to the kitchen manager. Any food preferences, likes and dislikes, any special diets and/or modified textures required are made known to the kitchen staff and accommodated in the daily meal planning. Special equipment can be arranged to meet the residents’ nutritional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seen to be given sufficient time to eat their meal in an unhurried fashion and those requiring assistance had this provided. There is sufficient staff on duty in the dining rooms at meal times to ensure appropriate assistance is available to residents as needed. Residents and family interviewed stated they were satisfied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interviews and observations verified the provision of care provided to residents was consistent with their needs, goals as per the person centred care plans (PCCP) reviewed. The attention to meeting a diverse range of residents’ individualised needs was evident in all areas of service provision. The GP interviewed, verified that medical input is sought in a timely manner, that medical orders are followed, and care is of a high level. Care staff confirmed that care was provided as outlined in documentation. A range of equipment and resources is readily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registered diversional therapist. Four volunteers with current bus licences are rostered to drive the facility bus for external outings in the community. An assistant is employed to support the activities programme for two hours on Monday and Friday afternoons and two hours in the weekend. </w:t>
            </w:r>
          </w:p>
          <w:p w:rsidR="00EB7645" w:rsidRPr="00BE00C7" w:rsidP="00BE00C7">
            <w:pPr>
              <w:pStyle w:val="OutcomeDescription"/>
              <w:spacing w:before="120" w:after="120"/>
              <w:rPr>
                <w:rFonts w:cs="Arial"/>
                <w:b w:val="0"/>
                <w:lang w:eastAsia="en-NZ"/>
              </w:rPr>
            </w:pPr>
            <w:r w:rsidRPr="00BE00C7">
              <w:rPr>
                <w:rFonts w:cs="Arial"/>
                <w:b w:val="0"/>
                <w:lang w:eastAsia="en-NZ"/>
              </w:rPr>
              <w:t>A recreational assessment and history is undertaken on admission to ascertain residents’ needs, interests, abilities and social requirements. The activities assessments are used to develop the individual activities plans reviewed. The programme reviewed is developed monthly and a weekly programme is displayed with activities and times for residents and families to participate. The activities programme reviewed provides lots of variety in the content and activities that are meaningful to the residents. The residents’ activity needs are evaluated six monthly and are part of the formal six monthly multiple 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observed matched the skills, likes, dislikes and interests identified in assessment data. Activities reflect residents’ goals, ordinary patterns of life and include normal community activities. Individual, group and regular events are offered.  The activities are discussed at the residents’ meetings which are held separately for the rest home and the hospital. Meeting minutes indicated residents’ input is sought and responded to. Resident and family satisfaction surveys demonstrated satisfaction with the programme and that information is used to improve the range of activities offered. Residents interviewed confirmed they find the programme interesting and fun.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progress notes reviewed are evaluated on each shift. If any change is noted, it is reported to the registered nurse or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 monthly interRAI reassessment or as residents’ needs change. Evaluations are documented by the registered nurse. The clinical manager has a schedule, which was sighted, of when reviews are due to be completed with accurate records maintained. Where progress is different from that expected, the service responds by initiating changes to the PCCP. Examples of short-term care plans were consistently reviewed to assess progress as clinically indicated and according to the degree of risk noted during the assessment process. Other plans such as wound care plans were evaluated each time the dressing is reviewed and/or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displayed in the entrance of the facility. The BCM stated there have not been any alterations to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long-term care facilities, with infection definitions reflecting a focus on symptoms rather than laboratory results. When an infection is identified, a record of this is documented on the infection record sighted. The clinical manager is the infection control coordinator and reviews all reported infections. Monthly surveillance data is collated and analysed to identify any trends, possible causative factors and required actions. All information is forwarded by the clinical manager to Oceania head office. Graphs are produced that identify trends for and comparisons from previous months. Data is benchmarked externally within the organisation. Benchmarking has provided assurance that infection rates in the facility are very low for the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new infections and any required management plan is discussed at handover to ensure early intervention occurs. Surveillance results are shared with staff at the general staff meetings, as confirmed in meeting minutes sighted and interviews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The restraint coordinator was not available at the time of the audit. The clinical manager interviewed demonstrated a sound understanding of the organisation’s policies, procedures and practice. The job description for the restraint coordinator was reviewed.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one resident was using an enabler which was the least restrictive and used voluntarily at their request. Six residents were using restraints. A similar process is followed for restraint use, minimisation and safe practice.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meeting minutes, records reviewed of those residents who have approved restraints and from staff interviewed.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Duart Lifestyle Care</w:t>
    </w:r>
    <w:bookmarkEnd w:id="58"/>
    <w:r>
      <w:rPr>
        <w:rFonts w:cs="Arial"/>
        <w:sz w:val="16"/>
        <w:szCs w:val="20"/>
      </w:rPr>
      <w:tab/>
      <w:t xml:space="preserve">Date of Audit: </w:t>
    </w:r>
    <w:bookmarkStart w:id="59" w:name="AuditStartDate1"/>
    <w:r>
      <w:rPr>
        <w:rFonts w:cs="Arial"/>
        <w:sz w:val="16"/>
        <w:szCs w:val="20"/>
      </w:rPr>
      <w:t>27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