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Elsdon Enterprises Limited - Bradford Manor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Elsdon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Bradford Manor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March 2017</w:t>
      </w:r>
      <w:bookmarkEnd w:id="7"/>
      <w:r w:rsidRPr="009418D4">
        <w:rPr>
          <w:rFonts w:cs="Arial"/>
        </w:rPr>
        <w:tab/>
        <w:t xml:space="preserve">End date: </w:t>
      </w:r>
      <w:bookmarkStart w:id="8" w:name="AuditEndDate"/>
      <w:r w:rsidR="00A4268A">
        <w:rPr>
          <w:rFonts w:cs="Arial"/>
        </w:rPr>
        <w:t>8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Bradford Manor is part of the Elsdon Enterprises Group.  The service is certified to provide dementia level of care for up to 26 residents. On the day of audit there were 25 residents. </w:t>
      </w:r>
    </w:p>
    <w:p w:rsidRPr="00A4268A">
      <w:pPr>
        <w:spacing w:before="240" w:line="276" w:lineRule="auto"/>
        <w:rPr>
          <w:rFonts w:eastAsia="Calibri"/>
        </w:rPr>
      </w:pPr>
      <w:r w:rsidRPr="00A4268A">
        <w:rPr>
          <w:rFonts w:eastAsia="Calibri"/>
        </w:rPr>
        <w:t>This unannounced surveillance audit was conducted against the Health and Disability Standards and the contract with the district health board.  This audit process included the review of policies and procedures, the review of residents and staff files, observations and interviews with family, a general practitioner, management and staff.</w:t>
      </w:r>
    </w:p>
    <w:p w:rsidRPr="00A4268A">
      <w:pPr>
        <w:spacing w:before="240" w:line="276" w:lineRule="auto"/>
        <w:rPr>
          <w:rFonts w:eastAsia="Calibri"/>
        </w:rPr>
      </w:pPr>
      <w:r w:rsidRPr="00A4268A">
        <w:rPr>
          <w:rFonts w:eastAsia="Calibri"/>
        </w:rPr>
        <w:t>A non-clinical manager is responsible for the day-to-day running of the home, with clinical oversight provided by an experienced registered nurse.  Bradford Manor has a quality assurance and risk management programme in place.  The activities programme is varied and designed to meet the needs of residents.</w:t>
      </w:r>
    </w:p>
    <w:p w:rsidRPr="00A4268A">
      <w:pPr>
        <w:spacing w:before="240" w:line="276" w:lineRule="auto"/>
        <w:rPr>
          <w:rFonts w:eastAsia="Calibri"/>
        </w:rPr>
      </w:pPr>
      <w:r w:rsidRPr="00A4268A">
        <w:rPr>
          <w:rFonts w:eastAsia="Calibri"/>
        </w:rPr>
        <w:t xml:space="preserve">The service had completed an extensive refurbishment since the previous audit.  This has included painting, carpeting and re-furnishing.  Families and the general practitioner interviewed commented positively on the standard of care, refurbishment of the facility and services provided at Bradford Manor Rest Home.  </w:t>
      </w:r>
    </w:p>
    <w:p w:rsidRPr="00A4268A">
      <w:pPr>
        <w:spacing w:before="240" w:line="276" w:lineRule="auto"/>
        <w:rPr>
          <w:rFonts w:eastAsia="Calibri"/>
        </w:rPr>
      </w:pPr>
      <w:r w:rsidRPr="00A4268A">
        <w:rPr>
          <w:rFonts w:eastAsia="Calibri"/>
        </w:rPr>
        <w:t xml:space="preserve">The service had addressed the one previous audit finding around high hot water temperatures and testing and tagging of electrical equipment.  </w:t>
      </w:r>
    </w:p>
    <w:p w:rsidRPr="00A4268A">
      <w:pPr>
        <w:spacing w:before="240" w:line="276" w:lineRule="auto"/>
        <w:rPr>
          <w:rFonts w:eastAsia="Calibri"/>
        </w:rPr>
      </w:pPr>
      <w:r w:rsidRPr="00A4268A">
        <w:rPr>
          <w:rFonts w:eastAsia="Calibri"/>
        </w:rPr>
        <w:t xml:space="preserve">This audit identified improvements required around updating H&amp;S policy, interRAI assessments, and medication management system.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There is a policy to guide staff around open disclosure.  Families are advised of incidents and accidents and this is recorded in progress notes and in the family contact sheet.</w:t>
      </w:r>
    </w:p>
    <w:p w:rsidRPr="00A4268A">
      <w:pPr>
        <w:spacing w:before="240" w:line="276" w:lineRule="auto"/>
        <w:rPr>
          <w:rFonts w:eastAsia="Calibri"/>
        </w:rPr>
      </w:pPr>
      <w:r w:rsidRPr="00A4268A">
        <w:rPr>
          <w:rFonts w:eastAsia="Calibri"/>
        </w:rPr>
        <w:t>The manager leads the investigation of any concerns/complaints and the complaint’s register is up to date.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Bradford Manor has a quality assurance and risk management programme.  The manager has maintained at least eight hours annually of professional development related to managing a rest home.  The quality plan is implemented.  Data is evaluated and results used for quality improvement.  The service maintains a risk register and a hazard register.</w:t>
      </w:r>
    </w:p>
    <w:p w:rsidRPr="00A4268A">
      <w:pPr>
        <w:spacing w:before="240" w:line="276" w:lineRule="auto"/>
        <w:rPr>
          <w:rFonts w:eastAsia="Calibri"/>
        </w:rPr>
      </w:pPr>
      <w:r w:rsidRPr="00A4268A">
        <w:rPr>
          <w:rFonts w:eastAsia="Calibri"/>
        </w:rPr>
        <w:t>There are human resources policies to support recruitment practices.  Performance appraisals are up to date.  The education planner covers compulsory education requirements as well as additional subjects.  The registered nurse (RN) has completed interRAI training.</w:t>
      </w:r>
    </w:p>
    <w:p w:rsidRPr="00A4268A">
      <w:pPr>
        <w:spacing w:before="240" w:line="276" w:lineRule="auto"/>
        <w:rPr>
          <w:rFonts w:eastAsia="Calibri"/>
        </w:rPr>
      </w:pPr>
      <w:r w:rsidRPr="00A4268A">
        <w:rPr>
          <w:rFonts w:eastAsia="Calibri"/>
        </w:rPr>
        <w:t xml:space="preserve">There is a roster that provides sufficient and appropriate coverage for the effective delivery of care and support.  There is a minimum of two caregivers on duty at any one time.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An experienced registered nurse is responsible for each stage of service provision at the facility.  Communication with family is documented.  Short-term care plans are in use for changes in health status.  Activities are provided that are meaningful and ensure that the resident maintains involvement in the community.  All staff have completed annual competencies for medication administration.  There are three-monthly GP medication reviews.  Food services are now provided in-house.  Dietary requirements are provided where special needs are required.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policies and procedures to appropriately guide staff around the use of enablers or restraints.  The registered nurse is the restraint coordinator.  There are no residents using enablers or restraints.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registered nurse is the infection control coordinator.  Surveillance of infections occurs and outcomes of these are communicated to staff.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54"/>
        <w:gridCol w:w="1280"/>
        <w:gridCol w:w="96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The manager leads the investigation of any concerns/complaints.  Complaints forms are available and information about complaints is provided on admission.  Interviews with family members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There was one complaint documented for 2016; there is a Health and Disability Service letter confirming resolution of the issues raised.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other complaints documented for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A review of 10 incident and accidents forms evidenced that family are notified following an incident and changes in health status.  Family interviewed stated they were kept informed.  Two registered nurses (RNs) interviewed also confirmed that open disclosure principles are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stated they were welcomed on entry and were given appropriate time and explanation about services and procedures.  Families are involved in the initial care planning and in ongoing care.  Relative’s survey is conducted once a year and all feedback has been positive.  The manager and the clinical lead/RN operate an open-door policy and this was observed on both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accessible via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Bradford Manor is owned by the Elsdon Enterprises Group and provides care for up to 26 rest home dementia level of care residents, occupancy on the day of audit was at 25.  There were no respite residents on the day of audit and one resident was under the age of 65.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non-clinical manager is responsible for day-to-day running of the home, with clinical oversight provided by an experienced registered nurse (clinical lead).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assurance and risk management/business plan for 2017 that includes a mission statement and operational objectives.  There is a risk management schedule and documented quality objectives that align with the identified person centred values and philosophy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maintained at least eight hours annually of professional development activities related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assurance and risk management and business plan for 2017.  There are three-monthly quality/staff meetings which include discussion around: internal audits, complaints, incident and accident analysis, infection control analysis, restraint and education.  Feedback and progress relating to quality and risk management systems is provided during quality/staff meetings and to the owners via the manager.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two RNs and three caregivers confirmed their involvement in the quality programme.  Resident/relative meetings no longer take place as attendance was minimal.  The manager confirmed that discussions are held with residents and families on a regular but informal basis.  Resident’s progress notes include family contact and related discussions.  Family members confirmed that they are able to discuss any issues or matters of concern with management on a daily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and procedures are scheduled to be reviewed on bi-annual basis but health safety policies have not been updated following legislative changes.  The service has a health and safety management system.  Security and safety policies and procedures are in place to ensure a safe environment is provided.  Emergency plans ensure appropriate response in an emergency.  Health and safety is discussed at the staff/quality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staff training programme based around policies and procedures.  Records of staff attendance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document control system is in place.  Documents no longer relevant to the service are removed and archived.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information on resident and staff incidents and accidents.  Incident/accident forms are completed and given to the RNs who complete a follow up.  All incident/accident forms are seen by the manager.  The manager completes any additional follow up and collates and analyses data to identify trends.  Monthly and yearly data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data is collated monthly and reported to staff.  Staff interviewed were knowledgeable around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review of the quality programme takes place annually.  Corrective actions are documented and implemented as needed.  Annual relative satisfaction surveys are conducted and all feedback in 2016 was positive.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incident/accident reports are completed for each incident/accident by the staff, with immediate action noted by the care staff on duty.  The clinical lead/RN follows up on any clinical issues.  Staff interview confirmed that the manager and clinical manager are available after hours as needed.</w:t>
            </w:r>
          </w:p>
          <w:p w:rsidR="00EB7645" w:rsidRPr="00BE00C7" w:rsidP="00BE00C7">
            <w:pPr>
              <w:pStyle w:val="OutcomeDescription"/>
              <w:spacing w:before="120" w:after="120"/>
              <w:rPr>
                <w:rFonts w:cs="Arial"/>
                <w:b w:val="0"/>
                <w:lang w:eastAsia="en-NZ"/>
              </w:rPr>
            </w:pPr>
            <w:r w:rsidRPr="00BE00C7">
              <w:rPr>
                <w:rFonts w:cs="Arial"/>
                <w:b w:val="0"/>
                <w:lang w:eastAsia="en-NZ"/>
              </w:rPr>
              <w:t>A monthly review of all incidents and accidents is conducted and an annual review has been completed for 2016.  Ten incident and accident forms were reviewed for this audit, all documented that an appropriate clinical response has been conducted including follow up as needed.  The manager signs off on all incident and accidents.  Minutes of the quality/staff meetings reflect a discussion of incidents/accidents and actions taken.</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clinical lead/RN and the manager confirms their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Recruitment and staff selection processes were implemented.  Five staff files were reviewed (one registered nurse, one diversional therapist and three caregivers) and all had appropriate documentation.  A copy of practising certificates for RNs are maintained.  Staff turnover was reported as 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that provides new staff with relevant information for safe work practice.  Staff interviewed could describe the orientation process and stated that new staff are adequately orientated to the service.  Annual appraisals are conducted for all staff.  One staff who was employed in November has a documented three-month follow-up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An in-service schedule has been implemented for 2016.  Four staff completed external study days relating to dementia care.  The clinical lead/RN attended external training including seminars and education sessions with the local district health board (DHB) which included wound care and pressure injury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both RNs and three caregivers confirm that the training programme is implemented and it covers relevant aspects of care and support.  The annual training programme exceeds eight hours annually.  </w:t>
            </w:r>
          </w:p>
          <w:p w:rsidR="00EB7645" w:rsidRPr="00BE00C7" w:rsidP="00BE00C7">
            <w:pPr>
              <w:pStyle w:val="OutcomeDescription"/>
              <w:spacing w:before="120" w:after="120"/>
              <w:rPr>
                <w:rFonts w:cs="Arial"/>
                <w:b w:val="0"/>
                <w:lang w:eastAsia="en-NZ"/>
              </w:rPr>
            </w:pPr>
            <w:r w:rsidRPr="00BE00C7">
              <w:rPr>
                <w:rFonts w:cs="Arial"/>
                <w:b w:val="0"/>
                <w:lang w:eastAsia="en-NZ"/>
              </w:rPr>
              <w:t>There are eleven caregivers employed at Bradford Manor; all but two have completed the required dementia unit standards.  These two have been employed less than a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staff are rostered on to manage the care requirements of the residents.  The service has a documented rationale for determining staffing levels and skill mixes for safe service delivery.  There is an RN on duty Monday to Sunday and on call after hours.  The clinical lead RN works Monday to Friday for 35 hours per week and another RN works 16 – 20 hours per week and covers the weekends.  There is a minimum of two caregivers on duty at any one time.  </w:t>
            </w:r>
          </w:p>
          <w:p w:rsidR="00EB7645" w:rsidRPr="00BE00C7" w:rsidP="00BE00C7">
            <w:pPr>
              <w:pStyle w:val="OutcomeDescription"/>
              <w:spacing w:before="120" w:after="120"/>
              <w:rPr>
                <w:rFonts w:cs="Arial"/>
                <w:b w:val="0"/>
                <w:lang w:eastAsia="en-NZ"/>
              </w:rPr>
            </w:pPr>
            <w:r w:rsidRPr="00BE00C7">
              <w:rPr>
                <w:rFonts w:cs="Arial"/>
                <w:b w:val="0"/>
                <w:lang w:eastAsia="en-NZ"/>
              </w:rPr>
              <w:t>The manager works every second Sunday and is available on-call.  Interviews with staff and family members identified that staffing is adequate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is on call for clinical issues.  Staff interviewed confirmed that they do access the RN support on weekends and afterhours and they are encouraged to use on call  availability.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reports reviewed showed that in two occasions, the RN input was obtained in assessment of a residents’ medical condition.  Interview with the RN confirmed on call availability and stated that staff mostly required a phone advice and she follows it up the next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on-call is triaged by the manager.  Staff phone the manager, the manager in-turn calls the RN to contact the home to follow up clinical issues.  Staff were happy was this arrangement and supported that RN support is available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medication blister packs.  The medications are delivered monthly and checked in by the RNs or a senior medication competent caregiver.  A caregiver was observed administering medications to the residents at a lunchtime medication round and followed correct administration procedures.  </w:t>
            </w:r>
          </w:p>
          <w:p w:rsidR="00EB7645" w:rsidRPr="00BE00C7" w:rsidP="00BE00C7">
            <w:pPr>
              <w:pStyle w:val="OutcomeDescription"/>
              <w:spacing w:before="120" w:after="120"/>
              <w:rPr>
                <w:rFonts w:cs="Arial"/>
                <w:b w:val="0"/>
                <w:lang w:eastAsia="en-NZ"/>
              </w:rPr>
            </w:pPr>
            <w:r w:rsidRPr="00BE00C7">
              <w:rPr>
                <w:rFonts w:cs="Arial"/>
                <w:b w:val="0"/>
                <w:lang w:eastAsia="en-NZ"/>
              </w:rPr>
              <w:t>All medications are stored securely.  The medication fridge is monitored and recorded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reconciliation is completed on admission.  Resident photos and allergies (or nil known allergies) are recorded on all 10 drug charts reviewed.  An annual medication administration competency is completed by caregivers who have the responsibility of administering medications.  </w:t>
            </w:r>
          </w:p>
          <w:p w:rsidR="00EB7645" w:rsidRPr="00BE00C7" w:rsidP="00BE00C7">
            <w:pPr>
              <w:pStyle w:val="OutcomeDescription"/>
              <w:spacing w:before="120" w:after="120"/>
              <w:rPr>
                <w:rFonts w:cs="Arial"/>
                <w:b w:val="0"/>
                <w:lang w:eastAsia="en-NZ"/>
              </w:rPr>
            </w:pPr>
            <w:r w:rsidRPr="00BE00C7">
              <w:rPr>
                <w:rFonts w:cs="Arial"/>
                <w:b w:val="0"/>
                <w:lang w:eastAsia="en-NZ"/>
              </w:rPr>
              <w:t>Medication charts are legible, signed and dated by the prescriber and meet acceptable good practice standards.  As required medication orders (PRN) all record indications for use.  Advised by the RN that no PRN medication is given by caregivers without authorisation from the RNs.  Review of five files and ten medication charts showed that PRN medication was used rarely and RN follow ups were recorded as required.  Not all medications have been signed as given on administration.</w:t>
            </w:r>
          </w:p>
          <w:p w:rsidR="00EB7645" w:rsidRPr="00BE00C7" w:rsidP="00BE00C7">
            <w:pPr>
              <w:pStyle w:val="OutcomeDescription"/>
              <w:spacing w:before="120" w:after="120"/>
              <w:rPr>
                <w:rFonts w:cs="Arial"/>
                <w:b w:val="0"/>
                <w:lang w:eastAsia="en-NZ"/>
              </w:rPr>
            </w:pPr>
            <w:r w:rsidRPr="00BE00C7">
              <w:rPr>
                <w:rFonts w:cs="Arial"/>
                <w:b w:val="0"/>
                <w:lang w:eastAsia="en-NZ"/>
              </w:rPr>
              <w:t>Ten of ten medication charts reviewed identified that the GP had reviewed the resident three-monthly and the medication chart was signed.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and procedure around resident self-medicating, however, self-medicating is actively discouraged due to the cohort of residents.  There were no residents self-medicating at Bradford Manor on both days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domestic style kitchen which is sufficient to cook for 26 residents.  Bradford Manor has changed from contracted kitchen staff to in-house meal services since the previous audit.  A cook has been employed and they are currently advertising for the second cook.  In the meantime, one of the registered nurses undertakes this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Policies/procedures for food services and menu planning are appropriate for the service.  Bradford Manor uses a menu from a sister company and it is reviewed by a dietician.  A dietary assessment is made by the RN, as part of the assessment process and this includes likes and dislikes.  There was evidence of residents receiving supplements.  Fridge and freezer temperatures are monitored and recorded daily in the kitchen.  Food in the fridge and freezers is covered and dated.  Special or modified diets are catered for.  Soft and puree dietary needs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were complimentary of the food services.  On the both days of the audit, it was observed that food was well presented, freshly cooked and residents who required assistance had support from the staff.  Nutritional supplements are available.  Finger foods are available for residents 24/7.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interventions were current and significant changes updated as required.  Communication with family is documented on the family/whānau consultation sheet or in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Specialist continence advice is available as needed and this could be described by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weighs have been completed in all five files sampled.  Referral to dietitian occurs as required as confirmed by the clinical lead/RN interview.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the treatment rooms are stocked for use.  Wound assessments and management plans have been completed for seven wounds which include six skin tears and one chronic skin ulcer.  There was evidence of referral to the GP and district nurse relating to wound care.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in use for changes in health status.  Monitoring occurs for vital signs and blood glucose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clinical lead/RN initiates a review and if required, arranges a GP visit.  There is evidence of three-monthly medical reviews or earlier for health status changes.  Families interviewed confirmed care delivery and support by staff is consistent with their expectations.  Families stated that they were kept informed of any changes to a resident’s health status.  Three caregivers interviewed stated there is adequate equipment provided including continence and wound care supplies.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Bradford Manor employs a diversional therapist (DT) who covers Monday to Friday, additional staff are rostered to cover weekends.  The programme is planned monthly and residents and family have input into activities provided.  Individual and group activities are catered for.  The service has a van for outings and community connections were maintained through outings and invitation to in-house entertainment.  </w:t>
            </w:r>
          </w:p>
          <w:p w:rsidR="00EB7645" w:rsidRPr="00BE00C7" w:rsidP="00BE00C7">
            <w:pPr>
              <w:pStyle w:val="OutcomeDescription"/>
              <w:spacing w:before="120" w:after="120"/>
              <w:rPr>
                <w:rFonts w:cs="Arial"/>
                <w:b w:val="0"/>
                <w:lang w:eastAsia="en-NZ"/>
              </w:rPr>
            </w:pPr>
            <w:r w:rsidRPr="00BE00C7">
              <w:rPr>
                <w:rFonts w:cs="Arial"/>
                <w:b w:val="0"/>
                <w:lang w:eastAsia="en-NZ"/>
              </w:rPr>
              <w:t>Resident’s current and past interests were identified on admission and this information is used to plan individual and group activities.  Individual participation in activities are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interviews showed satisfaction with the programme.  Staff are also involved in the delivery of the activities programme in the morning until the DT commences her duties.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identified that the individual activity plan is reviewed at the care plan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evaluations reviewed were not up to date (link 1.3.3.3).  Written evaluations showed the degree of achievement or expected outcomes related to each aspect of the long-term care plan interventions.  Significant changes in resident’s condition are documented well and interventions have been updated.  Short-term care plans are in use and used for wounds, infections and behaviour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Since the previous audit, the service completed an extensive refurbishment.  This included painting, wall papering, carpeting and re-furnishing.  Families and the GP interviewed commented positively on refurbishment of the facility and the care and attention during refurbishment.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are checked monthly by the maintenance staff and all recordings were within the acceptable limit of 45 degrees Celsius or below.  Medical equipment has been calibrated.  Test and tagging of electrical appliances were also current.  Therefore, required corrective actions from the previous audit have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lead/RN is the infection control coordinator.  Surveillance of infections occurs and outcomes of these are communicated to staff.  Infection control data is collected monthly and analysed and outcomes of these were communicated to staff through staff meetings and handovers.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have been unwell.  There are hand sanitisers throughout the facility and adequate supplies of personal protective equipment.  There was an outbreak in August 2016 and staff and the clinical lead/RN described the learnings and improvements following the outbreak.  On the day of audit, there was a resident with an infection.  The clinical lead/RN contacted the public health authorities regarding advice.  Staff were observed using standard precautions during cares.  There were a stock of personal protective equipment and clothing kept in the resident’s room.  Staff interviewed confirmed appropriate knowledge of infection control and prevention.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caregiver and nursing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enablers or restraints in use.  The clinical lead/RN is the restraint coordinator.  Training in restraint and challenging behaviour has been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59"/>
        <w:gridCol w:w="1280"/>
        <w:gridCol w:w="4510"/>
        <w:gridCol w:w="4537"/>
        <w:gridCol w:w="15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that are reviewed at least two-yearly.  The manager described this process and the use of external expertise in review of policies as required.  However, health and safety policies have not been updated to reflect the most recent changes in health and safety practices.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do not align with the Health and Safety at Work Act 2015.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health and safety policies are aligned with the current legislative changes.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align with accepted guidelines.  Medications are stored securely.  The service uses a blister pack medication management system.  Allergies are recorded on all 10 medication charts reviewed.  Medication charts have photo identification.  Five out of ten signing sheets were completed appropriately.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(i)There were signing gaps in four out of ten medication charts reviewed.  (ii) One medication was charted once a day and medication was taken from the blister pack but it was not signed as administered.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medications are signed as administered.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For the five resident files reviewed, initial assessments were completed within 24 hours of entry and the long-term care plans were developed within 21 days.  All resident files reviewed had initial assessments and paper-based risk assessments completed on admission.   The GP reviewed the residents within 48 hours of admission.  Care plan evaluations were not completed six-monthly.  On the day of audit there were 25 residents and interRAI data showed 19 completed assessments.  There were 11 residents who are overdue for assessment, ranging from 90 to 593 days overdue.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(i)Five files reviewed evidenced the following:  1) one resident was admitted in 2010 whose first interRAI assessment has yet to be completed; 2) two residents were admitted late 2016 whose initial interRAI assessments have yet to be completed; 3) two files six-monthly interRAI assessments are overdue.  The service reports that it has been difficult to complete interRAI assessments due to only one RN who is interRAI competent.  Now there is a process in place to access training for the second RN. (ii) In two of five files reviewed, care plan evaluations were not completed six-monthly.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all residents have a documented interRAI assessment within 21 days of admission and thereafter at least six-monthly. (ii)Ensure that care plan evaluations are completed at least six-monthly.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Elsdon Enterprises Limited - Bradford Manor</w:t>
    </w:r>
    <w:bookmarkEnd w:id="58"/>
    <w:r>
      <w:rPr>
        <w:rFonts w:cs="Arial"/>
        <w:sz w:val="16"/>
        <w:szCs w:val="20"/>
      </w:rPr>
      <w:tab/>
      <w:t xml:space="preserve">Date of Audit: </w:t>
    </w:r>
    <w:bookmarkStart w:id="59" w:name="AuditStartDate1"/>
    <w:r>
      <w:rPr>
        <w:rFonts w:cs="Arial"/>
        <w:sz w:val="16"/>
        <w:szCs w:val="20"/>
      </w:rPr>
      <w:t>7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