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Taumarunui Community Kokiri Enterprises Limited - Te Arahina O Arihia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Taumarunui Community Kokiri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Arahina O Arihia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April 2017</w:t>
      </w:r>
      <w:bookmarkEnd w:id="7"/>
      <w:r w:rsidRPr="009418D4">
        <w:rPr>
          <w:rFonts w:cs="Arial"/>
        </w:rPr>
        <w:tab/>
        <w:t xml:space="preserve">End date: </w:t>
      </w:r>
      <w:bookmarkStart w:id="8" w:name="AuditEndDate"/>
      <w:r w:rsidR="00A4268A">
        <w:rPr>
          <w:rFonts w:cs="Arial"/>
        </w:rPr>
        <w:t>11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Arahina O Arihia Rest Home provides rest home level care to a maximum of 15 residents.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All interviewees spoke positively about the care provided. </w:t>
      </w:r>
    </w:p>
    <w:p w:rsidRPr="00A4268A">
      <w:pPr>
        <w:spacing w:before="240" w:line="276" w:lineRule="auto"/>
        <w:rPr>
          <w:rFonts w:eastAsia="Calibri"/>
        </w:rPr>
      </w:pPr>
      <w:r w:rsidRPr="00A4268A">
        <w:rPr>
          <w:rFonts w:eastAsia="Calibri"/>
        </w:rPr>
        <w:t>The service is owned and operated by the Taumarunui Community Kokiri Trust with day to day oversight from a full-time manager. This person was not on site for the audit but was interviewed by telephone. The chief executive officer (CEO) and operations manager were interviewed and members of the board were on site for parts of this audit. The service discontinued providing dementia care in September 2016 and has had a significant change in staff since the previous audit.</w:t>
      </w:r>
    </w:p>
    <w:p w:rsidRPr="00A4268A">
      <w:pPr>
        <w:spacing w:before="240" w:line="276" w:lineRule="auto"/>
        <w:rPr>
          <w:rFonts w:eastAsia="Calibri"/>
        </w:rPr>
      </w:pPr>
      <w:r w:rsidRPr="00A4268A">
        <w:rPr>
          <w:rFonts w:eastAsia="Calibri"/>
        </w:rPr>
        <w:t>This audit resulted in eight identified areas requiring improvement. Three of these relate to the quality system, where there needs to be more effective review of policies and procedures, formal analysis of quality data and evidence that corrective actions are resolved. An improvement about the frequency of staff appraisals and care planning is required, and there are three areas of non-compliances in the restraint minimisation standard.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rights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complaints policy and procedures comply with right 10 of the Code. A complaints register is maintained. This contains information about the nature of the complaint, and details about investigations and outcomes. There has been one external complaint received by the Ministry of Health (MoH) and the DHB. Investigations have occurred and any matters requiring improvement had been agreed between the provider, the DHB and MoH prior to this certification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reports about service delivery are provided to the governing body regularly. An experienced and suitably qualified person manages the facility with support from registered nurses.</w:t>
      </w:r>
    </w:p>
    <w:p w:rsidRPr="00A4268A">
      <w:pPr>
        <w:spacing w:before="240" w:line="276" w:lineRule="auto"/>
        <w:rPr>
          <w:rFonts w:eastAsia="Calibri"/>
        </w:rPr>
      </w:pPr>
      <w:r w:rsidRPr="00A4268A">
        <w:rPr>
          <w:rFonts w:eastAsia="Calibri"/>
        </w:rPr>
        <w:t xml:space="preserve">The quality and risk management system is documented. Quality activities are reported against. Adverse events are documented with corrective actions identified. Actual and potential risks, including health and safety risks, are identified and mitigated. The policy and procedure set is designed to support service delivery.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new approach to delivering ongoing training to staff has been implemented this year.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 and 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were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is clean and well maintained. There is a current building warrant of fitness.  Electrical equipment is tested annually.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The restraint policy meets the requirements. Some procedures had been followed for a resident who was recently identified as requiring bedrails as a safety measure when in bed. There were three residents who had requested and were voluntarily using enablers to prevent harm and to assist their mobilisation. Staff training in the safe and appropriate use of restraint and enablers has been occurring.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8"/>
        <w:gridCol w:w="1280"/>
        <w:gridCol w:w="90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had been gained appropriately using the organisation’s standard consent form. Advance care planning, establishing and documenting enduring power of attorney requirements and processes for residents unable to consent is defined and was documented, as relevant, in the residents’ records.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registered nurse provided a contact list of advocates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members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The residents and families interviewed said they has been provided information about the complaint process on admission and would have no hesitation raising concerns with staff or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contained four complaints that had been received since 2016.  An anonymous complaint about resident care, incidents, staffing and medicines was investigated by the DHB and Ministry of Health in March 2017. The investigation did not substantiate all the matters raised in the complaint but recommendations were made and improvements have been actioned. The facility manager interviewed by telephone stated that scanned paper copies of concerns received from staff about other staff and from residents about other residents, received in 2016 had been deliberately deleted from the electronic database along with the complaints register. These have subsequently been retrieved. The organisation has reviewed its systems for securing data and has implemented steps to prevent recurrence.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and individual complaint forms records the date and nature of the complaint, how it was acknowledged, results of investigation and when and how the complaint was resolved. The operations manager is currently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Information is provided in the information pack and admissions agreement.  The Code is displayed in the main areas of the facility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partaking in community activities, arranging their own visits to the doctor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All four residents who affiliate with their Maori culture are supported with a current Māori health plan developed with input from cultural advisers which was specific and individualised to meet their needs.  Guidance on tikanga best practice is available and is supported by staff who identify as Māori and Maori language signage was evident throughout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food, spiritual beliefs.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however not all policies reviewed have update supporting evidence (refer to criterion 1.2.3.3).  Input from external specialist services and allied health professionals (eg, hospice/palliative care team, diabetes nurse specialist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Families and residents interviewed were happy with the external support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was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whanau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13 residents including two people on short stay respite. Three long term residents are under the age of 65 years and funded by the Ministry of Health DSS contract for young people with disabilities. The needs of these younger residents are provided for in the form of different activities and support to access to community resources of their choice. All other residents’ cares are sufficiently provided for under the aged residential care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Taumarunui Community Kokiri Trust has owned and operated the aged care facility since 2003. The sighted five year strategic plan for the organisation and annual plan for the lifestyle/rest home, contain a philosophy, values, mission and goals. Interview with the CEO and operations manager and review of board meeting minutes showed these plans are regularly monitored for progress via the monthly CEO reports to the Board. The facility manager also provides written reports to the board which detail occupancy, and other operational matters. The facility manager has been employed by the Trust for a number of years as the human resource (HR) manager and assumed the role of facility manager in 2015. This person is suitably qualified as a manager with input and support with clinical matters from the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on leave and the operations manager and a designated and additional registered nurse (RN) are currently carrying out all the required duties. The operations manager has the delegated authority for the facility management. During absences of key clinical staff, the clinical management has been overseen by another part time RN who is experienced in the sector and able to take responsibility for any clinical issues that may arise. This person is booked to undertake interRAI training. Staff reported the current arrangements are working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established quality and risk systems which includes the reporting and management of incidents and complaints, internal audit activities, regular resident and whanau satisfaction surveys, contract reporting, and reporting of infection events. The pre-audit document review identified there was a need to review clinical policies and procedures to ensure they meet current legislation and known best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staff and management and review of documents show that the number of incidents, complaints, infections and results of internal audits is submitted electronically to the organisation’s quality assurance committee each month and some aspects of this are discussed at team meetings. There is no evidence that this information is being compared or analysed for trends. Furthermore, there is scant evidence that the recommendations and corrective actions identified to address any shortfalls have been implemented and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being completed annually. The most recent survey in November 2016 showed medium to high satisfaction. Where the surveys indicated follow up was required, this had been undertaken by the operations manager and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the CEO described the processes for the identification, monitoring, review and reporting of risks and development of mitigation strategies. Although these people are familiar with the requirements of the Health and Safety at Work Act (2015) and regular health and safety checks are carried out, the current policies do not reflect the new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and that the incidents were investigated in a timely manner, usually the same or next day, by either the facility manager or the registered nurse. Although the total number of events is collated and reported monthly, this is not being sufficiently analysed and there is no evidence that recommendations are being tracked and monitored for implementation and effectiveness. There are corrective actions required in standard 1.2.3 related to this. </w:t>
            </w:r>
          </w:p>
          <w:p w:rsidR="00EB7645" w:rsidRPr="00BE00C7" w:rsidP="00BE00C7">
            <w:pPr>
              <w:pStyle w:val="OutcomeDescription"/>
              <w:spacing w:before="120" w:after="120"/>
              <w:rPr>
                <w:rFonts w:cs="Arial"/>
                <w:b w:val="0"/>
                <w:lang w:eastAsia="en-NZ"/>
              </w:rPr>
            </w:pPr>
            <w:r w:rsidRPr="00BE00C7">
              <w:rPr>
                <w:rFonts w:cs="Arial"/>
                <w:b w:val="0"/>
                <w:lang w:eastAsia="en-NZ"/>
              </w:rPr>
              <w:t>Management staff interviewed clearly understood the requirements around essential notification reporting, including for pressure injuries.  Notifications about changes in management and service scope have been made to the Ministry of Health and DHB since the previous audit. An issues based audit into clinical practices following an anonymous complaint in early 2017 has occurred and the findings are being openly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There is a need to formalise and document a review of new staff competence and suitability for the role after their three-month probation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recent review and changes to the way staff training is occurring.  Continuing education is planned on an annual basis, including mandatory training requirements. Care staff have either completed or commenced a New Zealand Qualification Authority education programme to meet the requirements of the provider’s agreement with the DHB. The registered nurse is sufficiently trained and competent to undertake interRAI assessments. There is evidence this person is also maintaining their annual competency requirements. </w:t>
            </w:r>
          </w:p>
          <w:p w:rsidR="00EB7645" w:rsidRPr="00BE00C7" w:rsidP="00BE00C7">
            <w:pPr>
              <w:pStyle w:val="OutcomeDescription"/>
              <w:spacing w:before="120" w:after="120"/>
              <w:rPr>
                <w:rFonts w:cs="Arial"/>
                <w:b w:val="0"/>
                <w:lang w:eastAsia="en-NZ"/>
              </w:rPr>
            </w:pPr>
            <w:r w:rsidRPr="00BE00C7">
              <w:rPr>
                <w:rFonts w:cs="Arial"/>
                <w:b w:val="0"/>
                <w:lang w:eastAsia="en-NZ"/>
              </w:rPr>
              <w:t>Review of a sample of staff files, staff and management interviews, reveal that 70% of staff have not had an annual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Interviews with staff and residents confirmed that staff levels are adjusted to meet the changing needs of residents. Night staff confirmed that ready access to advice or physical support is available when needed from the on call registered nurses.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The records of staff training confirmed that all but three staff (who are not care staff) have current first aid certificates .There is always a staff member on duty with a current first aid certificate and a RN on call 24/7.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Disability Services Limited (DSL) Service.  Eleven of eleven residents have been assessed and confirmed by the local Needs Assessment and Service Coordination (DSL) Service as requiring rest home level care. Prospective residents and/or their families are encouraged to visit the facility prior to admission and are provided with written information about the service and the admission process.   The organisation seeks updated information from DSL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to provide rest home, and respite care and care for people with disabilities under the age of 65. On the day of audit there were three residents under the age of 65 and 11 residents receiving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the implementation of the ‘yellow envelope’ and associated paperwork.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and identifies all aspects of medicine management and includes scanned pages from the Medicines Care Guide for Residential Aged Care.  The policy also cites the five rights when administering medication not seven (refer to criterion 1.2.3.3).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Each shift is supported by staff who administer medicines and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stock checks and accurate entries.  At the time of audit the pharmacist completed an audit of the controlled drugs 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is consistently recorded on the electronic medicine chart.  Standing orders are used, however the review date at time of audit had expired on the 4 April 2017, and the RN stated that standing orders had not been implemented since this day and by day two of audit all standing orders had been reviewed, updated and resigned by the GP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self-administered medications (insulin) at the time of audit.   Three monthly reviews were evidenced.  The insulin is stored in the treatment room and when required the medication competent staff member dials up the prescribed amount.  The resident then self-administers the insulin under supervision.  Processes are in place to ensure this is managed in a safe manner which includes a care plan in the event of a hypoglycaemic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The cook has undertaken an updated safe food handling qualification in March 2017.</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the cook and accommodated in the daily meal plan.  Residents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satisfaction surveys and resident meeting minutes.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DSL is advised to ensure the prospective resident and family are supported to find an appropriate care alternative. If the needs of a resident change and they are no longer suitable for the services offered, a referral for reassessment to the DSL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as a means to identify any deficits at time of admission.  Risks/triggers are also identified thru the use of interRAI assessments to support and inform care planning. The sample of care plans reviewed had an integrated range of resident-related information.  All residents have current interRAI assessments completed by a trained interRAI assessors on site.  A second RN is booked to commence training.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however not all long plans identified residents requiring frequent use of antibiotics term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The GP interviewed, verified that medical input is sought in a timely manner, that medical orders are followed, and care is provided at a high level. Care staff confirmed that care was provided as outlined in the documentation. A range of equipment and resources was available, suited to the level of care provided and in accordance with the residents’ needs which included incontinence and dressing supplies.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 has recently completed the national Certificate in Diversional Therapy.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to meet the needs of residents over and under the age of 65. Residents and families/whānau are involved in evaluating and improving the programme through residents’ meetings and satisfaction surveys.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role of the activities co-ordinator includes the escorting and transport of residents to GP/hospital appointments when family are unavailable.  Due to an increase recently in family being unavailable, the activities co-ordinator has been required to be off site frequently.  A discussion was had with the management team who have stated that they will review this practice to ensure that all residents within the facility have equal time with the activities co-ordinator and the residents can look forward to and enjoy planned calendar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Formal care plan evaluations, occur every six months in conjunction with the six-monthly interRAI reassessment, or as residents’ needs change.   Where progress is different from expected, the service responds by initiating changes to the plan of care however not all interventions had care plans (refer to criterion 1.3.5.2).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radiology and physiotherapy.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20 May 2017) was publicly displayed. There have been no structural changes to the building with the change in service scope. Keypad door locks have been removed and all bedrooms are now for single occupancy. Appropriate systems are in place to ensure the residents’ physical environment and facilities are fit for their purpose and maintained. The testing and tagging of electrical equipment and calibration of bio-medical equipment is current as confirmed in documentation reviewed, interviews with maintenance personnel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ensure the environment is hazard free, that residents are safe and independence is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 and setting. Water blasting of external walking paths is scheduled to occur. Residents and family members said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two toilets and a separate shower room in each wing (for a maximum seven residents) plus an extra toilet next to the large lounge. There is a separate toilet designated for staff/visitors.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are now for a sole occupant. The larger previously shared bedrooms are allocated to residents with mobility equipment. Currently, one of the 15 bedrooms is being used to store equipment, surplus mobility aids and wheel chairs. Rooms are personalised with furnishings, photos and other personal items displayed. Staff and residents reported the adequacy of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large dining and two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 site by care staff. The staff interviewed demonstrated a sound knowledge of the laundry processes, dirty/clean flow and handling of soiled linen. Residents and family interviewed reported the laundry is managed well and that residents’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designated cleaner who has been in the role for many years and attends appropriate training. Basic cleaning is also undertaken by care staff on different shifts and at the weekends.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resident and family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in June 2000. The deconstruction of the secure unit did not require this to be reviewed or updated.  A trial evacuation takes place six-monthly with a copy sent to the New Zealand Fire Service, the most recent being on 06 April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requirements for a maximum of 15 residents. Taumarunui civil defence provides water storage tanks close to the facility and generators are available. Emergency lighting is regularly tested.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and staff were observed responding promptly to these. Residents who are at risk of falls or wandering at night have sensor mats in place. Night staff interviewed confirmed they regularly check these are working and plugged in and that the floor mats being used to disguise these have reduced the issue they had about residents avoiding standing on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each night and entry or exit through doors other than the main door, triggers an alarm.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and large opening external windows. Heating is provided by electrical panel heaters in residents’ rooms and in the communal areas. Areas were warm and well ventilated throughout the audit and residents and families confirmed the facilities are maintained at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infection control manual, however this was last reviewed in 2014 (refer to criterion 1.2.3.3).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at staff meetings, monthly to the facility manager and tabled at the board meetings.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six months.  She has undertaken online training in infection prevention and control,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programme, however policies were last reviewed in 2014 (refer to criterion 1.2.3.3)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There has been no recent history of infection outbreaks or an increase in infection incidence.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and has included reminders about handwashing, advice about remaining in their room if they are unwell, and increasing fluids during hot weather.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Monitoring is discussed in handover and staff meetings to reduce and minimise risk and ensure residents’ safety.  The service monitors skin and soft tissue wounds, pressure injuries, urinary tract infections, oral, eyes, ear, and gastroenteritis infections.  Antibiotic use is also monitored.  The infection control coordinator collates monthly and annual activity of individual results, however does not identify and/or analyse possible causative factors, trends (refer to criterion 1.2.3.6).  Information is fed back and discussed in management, staff and where appropriate, family and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Data collected identifies two residents who are chronically unwell and frequently require antibiotics.   Evidence of interventions were included in GP and progress notes, fluid balance charts and written handover information, however long term care plans did not include interventions in place to reduce and minimise the risk of infection. (Refer to criterion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contains clear descriptions and guidelines on restraint/enabler procedures. There is a documented definition of restraint and enablers which is congruent with the definition in the Standard.  On the day of audit one resident has bedrails in place as a restraint and three residents were using enablers (bed rails, laps belts), which were the least restrictive and used voluntarily at their request. A similar process is followed for the use of enablers as is used for restraints. There was a restraint register. Staff training on restraint and managing challenging behaviour is provided regularly.  The full time registered nurse is the designated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in team meeting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appropriate and clearly defined approval process which is implemented. The type of restraints approved for use are documented in the policy. These include lap belts, harness, 'fall out' chairs and bed rails. The policy and restraint folder is available to all staff and restraint is discussed at monthly staff meetings. Evidence of family/whānau and GP involvement in the decision making was on the file of the one resident who has bed rails in place. Use of a restraint or an enabler was part of the plan of care. Alternatives to restraint were trialled as part of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 policy describes assessment processes, there was insufficient evidence that full assessment had been completed prior to initiating bedrails for a resident recently.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as demonstrated by the low rate of restraints in place and alternatives in use, such as the use of sensor mats.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There was no restraint register or recent history about restraint use on site. This was amended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understand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electronic files for 2016 showed that the individual use of restraints was being reviewed three monthly and evaluated during care plan and interRAI reviews. The evaluation considered safe continuation of restraint, changes in the resident’s status and care plans and if monitoring was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activity was being discussed at team meetings and being reported to the organisation’s quality committee each month, but there has not been a quality review of restraint practices in the past 12 months. The requirement for regular monitoring and quality review of restraint is described in policy and has not been adhered to.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22"/>
        <w:gridCol w:w="1280"/>
        <w:gridCol w:w="4002"/>
        <w:gridCol w:w="2242"/>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pre-audit document review identified deficiencies in the content and extent of the policies and procedures. Guidelines for new processes such as interRAI had not been developed, and the policy reviews were not taking into account changes in practice or new legislation.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the system indicated that policy reviews had been occurring annually, these reviews had not identified required changes or additions (for example, an interRAI policy had not been developed). A number of policies require updating to meet current best practice and new legislation, for example, wound/skin/care pressure injury, infection control, consumer records, health and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policy and procedure set is thoroughly reviewed and changes are made where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monthly quality summary reports which are submitted to the organisation’s quality assurance committee, and corresponding data for 2016-2017, for example, incident and accident reports, complaint and infection event reports, plus management reports to the Board and the results of internal audits do not include narrative or discussion about the quality statistics or results.  Interviews with management and other staff confirm the process has not included studying the data for any positive or negative trends or patterns that highlight the impact of practice on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insufficient evidence that the quality data being collected is analysed or compared. A number of the quality tools in use, for example, the records audit tool and the incident summary sheet, are difficult to interpret and do not produce easy to understand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tools that are being used for internal auditing, and the systems for collecting and reporting quality data. Ensure that quality data is analysed and evaluated in ways that identify positive or negative trends.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2016-2017 incident reports, results of internal audits, and reports to the Board and the quality committee do not discuss what has been done to remedy shortfalls or prevent recurrence. The staff interviewed described the actions that had taken place but were not able to evidence that the actions were effective or that they had tested/evaluated or checked that the actions or remedies had solved the problem. In the case of a serial faller, the ongoing action required was for staff to check the resident had not disconnected their sensor mat and for staff to assist with standing and sitting. Subsequent reports about this resident’s falls did not consider the presence of staff or the status of the sensor mat or suggest other strategies to mitigate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Where incident reports and internal audit tools identified areas that needed improvement, remedial actions are recorded but there was no evidence that these actions were implemented or followed up 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corrective actions have been implemented and then reviewed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sample of staff records reviewed (four of five) did not contain evidence of performance appraisal. Five staff said they had either not had a 90-day review or had not engaged in a performance appraisal since 2015. The manager interviewed by phone confirmed that 70% of staff were overdue for performance appraisals. This was due to the manager being on long term sick leave.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system for evaluating new staff and monitoring staff performance is not being adhered to. Although the manager stated that she engages in frequent 1:1 discussions with individual staff about their work, these discussions are not documented. The majority of staff are overdue a formal performance appraisals, and new staff have not been signed off as meeting requirements after their 90-day probation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new staff engage in a 90-day post-employment appraisal, and that all other staff performance is formally reviewed at least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required support and/or intervention of identified ongoing assessment documentation was identified in verbal and written handovers, resident’s progress notes, GP discussions.  Five of five residents’ files evidenced long term care plans; however, two of five residents did not have specific care plans to identify frequency of infections and evidence related interventions to reduce and minimise the risk of infection.   It was evident from staff interviewed that they knew the residents well.  Family and residents interviewed stated they were happy with the care provided.  The GP interviewed stated that he was happy with the care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have identified interventions related to infections documented in long term care planning.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have long term care plans to meet the needs of the residents and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file did not contain a longitudinal log of past and present restraints. Interviews with the RNs revealed that they knew who had been using enablers or restraints and the only way to gather proof of this was to conduct an electronic search of the database.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insufficient evidence that assessment for the safe use of restraint had occurred prior to initiating the restraint, for example, no risks related to the use of restraint were identified. The new RNs require education and support to better understand all the requirements of this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RNs understand these requirements and that the process for assessing the need for restraint is documented. The assessment needs to take into account all the factors identified in this criterion.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2.2.3.5</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or equivalent process is established to record sufficient information to provide an auditable record of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file did not contain a longitudinal log of past and present restraints. Interviews with the RNs revealed that they knew who had been using enablers or restraints and the only way to gather proof of this was to conduct an electronic search of the database.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who was using bedrails or other equipment for safety and to assist mobilisation, but records for what restraints had been in place for 2016 and up to 2017 were not readily accessible. There is no simple process for determining the extent of restraint or enabler use in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Maintain an up to date restraint register or other similar process to provide an easy to access and accurate account of past and present restraint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clinical staff and management revealed they were not aware of the need to conduct a comprehensive quality review of restraint practice. This is described in the organisations policy and procedures and has not been completed. Had this been completed it may have identified areas for improvement and strengthened staff knowledge about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a formal and comprehensive review of restraint activity having been conducted since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Conduct a comprehensive review of all restraint activity within the facility over a period of time as determined by policy. This review needs to consider and report on all the aspects required in this criterion.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Taumarunui Community Kokiri Enterprises Limited - Te Arahina O Arihia Rest Home</w:t>
    </w:r>
    <w:bookmarkEnd w:id="58"/>
    <w:r>
      <w:rPr>
        <w:rFonts w:cs="Arial"/>
        <w:sz w:val="16"/>
        <w:szCs w:val="20"/>
      </w:rPr>
      <w:tab/>
      <w:t xml:space="preserve">Date of Audit: </w:t>
    </w:r>
    <w:bookmarkStart w:id="59" w:name="AuditStartDate1"/>
    <w:r>
      <w:rPr>
        <w:rFonts w:cs="Arial"/>
        <w:sz w:val="16"/>
        <w:szCs w:val="20"/>
      </w:rPr>
      <w:t>10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