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Coastal Villas Limited - Metlifecare Coastal Villas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Coastal Villas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Coastal Villas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May 2017</w:t>
      </w:r>
      <w:bookmarkEnd w:id="7"/>
      <w:r w:rsidRPr="009418D4">
        <w:rPr>
          <w:rFonts w:cs="Arial"/>
        </w:rPr>
        <w:tab/>
        <w:t xml:space="preserve">End date: </w:t>
      </w:r>
      <w:bookmarkStart w:id="8" w:name="AuditEndDate"/>
      <w:r w:rsidR="00A4268A">
        <w:rPr>
          <w:rFonts w:cs="Arial"/>
        </w:rPr>
        <w:t>2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Coastal Villas provides rest home and hospital level care for up to 35 residents. The overall service is managed by the village manager and the care facility service is managed by a nurse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contracted allied health providers and a general practitioner.  </w:t>
      </w:r>
    </w:p>
    <w:p w:rsidRPr="00A4268A">
      <w:pPr>
        <w:spacing w:before="240" w:line="276" w:lineRule="auto"/>
        <w:rPr>
          <w:rFonts w:eastAsia="Calibri"/>
        </w:rPr>
      </w:pPr>
      <w:r w:rsidRPr="00A4268A">
        <w:rPr>
          <w:rFonts w:eastAsia="Calibri"/>
        </w:rPr>
        <w:t xml:space="preserve">The one area which required improvement from the previous certification audit related to a formalised process to measure progress of quality goals has been fully addressed by the service. One new area was identified for improvement related to staff orientation.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 There was one open complaint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Experienced and suitably qualified persons manage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or enrolled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Use of enablers is voluntary for the safety of residents in response to individual requests. Staff demonstrated a sound knowledge and understanding of the restraint and enabler processes. There were six enablers in use and no restraint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7"/>
        <w:gridCol w:w="1280"/>
        <w:gridCol w:w="104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eight complaints have been received over the past year. For seven of the complaints, actions taken have led to an agreed resolution, which are documented and completed within the timeframes. At the time of audit, there is one open complaint which is being addressed with assistance from Metlifecare head office. Action plans show any required follow up and improvements have been made where possible.  The nurse manager is responsible for complaints management and follow up for the care unit.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Health and Disability Commissioner complaint which was open at the previous audit is now closed. All corrective actions have been completed. A new complaint made to the Health and Disability Commissioner in July 2016 was closed on 28 March 2017 with no follow up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holds a ‘friend and family’ meeting once a month which operates as an open forum where management, family and residents come together and discuss any issues or concerns. Meetings are minuted and any concerns are addressed promptly by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all residents able to speak English.  Staff are able to provide interpretation as and when needed and family members and communication cards can be used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at organisational level, outline the purpose, values, scope, direction and goals of the organisation. Metlifecare Coastal Villas has a personalised business plan which is linked to organisational goals. The documents describe annual and longer term objectives and the associated operational plans. A sample of quarterly reports against each goal and monthly quality reports go to the board of directors. These reports showed adequate information to monitor performance. Reporting includes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service is managed by the village manager and the care facility service is managed by a nurse manager. Both managers hold relevant qualifications. The village manager has been in the role for 13 years and the nurse manager for 18 months. Responsibilities and accountabilities are defined in a job description and individual employment agreement.  The nurse manager confirmed knowledge of the sector, regulatory and reporting requirements and maintains currency through the Metlifecare governance group, nurse leader forums, clinical and management seminars and ongoing education both on-site and offsite.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Capital &amp; Coast District Health Board for Aged Related Residential Care including respite care. All 33 residents were receiving services under this contract at the time of audit (29 hospital level care and 4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pressure injuries, falls and restraint.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meetings, at clinical governance meetings, health and safety meetings and staff meetings. The quality and risk plan is updated annually with regular reporting occurring. This area identified for improvement in the previous audit now meets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and implementation of corrective actions where required. Relevant corrective actions are developed and implemented to address any shortfalls. One example related to falls follow up which now requires a new assessment to be undertaken and results to be documented in residents’ progress notes. This was monitored with a 100% success rating following implementation (February 2017). Resident and family satisfaction surveys are completed annually. The most recent survey showed a very high satisfaction rating for all service areas including care, staff availability, meals, activities and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nurse manager, village manager and electronically to head office. Adverse events are reported at board level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including for pressure injuries.  They advised there has been one notification of an unstageable pressure injury in April 2017 to the Ministry of Health using Section 31 reporting. There have been no other significant events made to the Ministry of Health, or any other reporting body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However, staff records reviewed showed documentation of orientation was not always completed.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 service has two staff members who are the internal assessor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and there is 24 hour/seven days a week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current residents hold occupational right agreements on their dwellings and are located in the village complex. They are all rest home level care. There is a system in place to ensure there is always a RN and at least one other staff member in the care unit at all times.  This was clarified in a documented process for response to emergency call bells which showed dedicated staff are allocated to the village area. Management confirmed the implementation of the documented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nurse manager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were not being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external contractor and is in line with recognised nutritional guidelines for older people.  The menu follows summer and winter patterns and was reviewed by a qualified dietitian in March 2017.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Kapiti Coast Council has recently inspected the kitchen and documentation sighted verifies compliance with hygiene standards.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There was sufficient staff on duty in the dining rooms at meal times to ensure appropriate assistance was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competent and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activity co-ordinator, with mentoring oversight from a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a resident’s condition and needs change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The activities programme is discussed at the minuted residents’ and family meetings and indicated residents’ input is sought and responded to. Resident and family meetings are held at different times every month to enable all families an opportunity to attend. Resident and family satisfaction surveys demonstrated satisfaction with the programme and that information was used to improve the range of activities offered. Residents interviewed confirmed they find the programme offers a range of activities that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being consistently reviewed and progress evaluated as clinically indicated were noted for urinary tract infections, wounds and challenging behaviours. When necessary, and for unresolved problems, long term care plans were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27 March 2018) was publicly displayed.  At the time of audit, the service has a special plan in place for emergency management owing to the sprinkler system and the call bells being upgraded. This process is taking place over a three-week period. The management plan includes residents, staff and visitors. Resident, staff and family interviews confirmed their awareness of this process.  The temporary emergency management plan has been approved by the fire service and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and management is documented in the residents’ clinical records and on an infection reporting form. New infections and any required management plan are discussed at handover, to ensure early intervention occurs. The Infection Prevention and Control (IPC) nurse reviews all reported infections.  Monthly surveillance data is collated, recorded in the organisation’s electronic resident management system, and analysed to identify any trends, possible causative factors and required actions. Results of the surveillance programme were shared with staff via quality meetings, staff meetings and at resident handovers, as was confirmed in meeting minutes sighted and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Data is benchmarked internally within the group. Benchmarking has provided assurance that infection rates in the facility are below average for the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no residents using restraints. Six residents were using enablers, which were the least restrictive and used voluntarily at their request. A similar process is followed for the use of enablers as is used for restraints.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only used restraint once since the previous audit for the safety of a resident. It was commenced on the 27 September 2015 and stopped 8 October 2015. All required actions were completed for the use of restraint, including family consent.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78"/>
        <w:gridCol w:w="1280"/>
        <w:gridCol w:w="7126"/>
        <w:gridCol w:w="1203"/>
        <w:gridCol w:w="18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generic Metlifecare orientation programme with individualised induction for staff depending on the role they are employed to undertake. The orientation programme covers all the essential components of service delivery. Staff confirmed during interview that a full orientation/induction programme is offered. During the staff files review not all files contained a completed orientation pack.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Completed orientation could not be located in two of seven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have complete orientation within three months of commencing employment.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Coastal Villas Limited - Metlifecare Coastal Villas</w:t>
    </w:r>
    <w:bookmarkEnd w:id="58"/>
    <w:r>
      <w:rPr>
        <w:rFonts w:cs="Arial"/>
        <w:sz w:val="16"/>
        <w:szCs w:val="20"/>
      </w:rPr>
      <w:tab/>
      <w:t xml:space="preserve">Date of Audit: </w:t>
    </w:r>
    <w:bookmarkStart w:id="59" w:name="AuditStartDate1"/>
    <w:r>
      <w:rPr>
        <w:rFonts w:cs="Arial"/>
        <w:sz w:val="16"/>
        <w:szCs w:val="20"/>
      </w:rPr>
      <w:t>2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