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Central - Chalmers Elderly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Central</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Chalmers Elderly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March 2017</w:t>
      </w:r>
      <w:bookmarkEnd w:id="7"/>
      <w:r w:rsidRPr="009418D4">
        <w:rPr>
          <w:rFonts w:cs="Arial"/>
        </w:rPr>
        <w:tab/>
        <w:t xml:space="preserve">End date: </w:t>
      </w:r>
      <w:bookmarkStart w:id="8" w:name="AuditEndDate"/>
      <w:r w:rsidR="00A4268A">
        <w:rPr>
          <w:rFonts w:cs="Arial"/>
        </w:rPr>
        <w:t>28 March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This audit also verified the service as suitable to provide medical level care under their current hospital certification and conversion of 12 existing rest home beds to dual purpose beds.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Chalmers Elderly Care is part of the Presbyterian Support Central organisation and provides rest home and hospital care for up to 80 residents.  On the day of the audit, there were 71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staff and management.  </w:t>
      </w:r>
    </w:p>
    <w:p w:rsidRPr="00A4268A">
      <w:pPr>
        <w:spacing w:before="240" w:line="276" w:lineRule="auto"/>
        <w:rPr>
          <w:rFonts w:eastAsia="Calibri"/>
        </w:rPr>
      </w:pPr>
      <w:r w:rsidRPr="00A4268A">
        <w:rPr>
          <w:rFonts w:eastAsia="Calibri"/>
        </w:rPr>
        <w:t xml:space="preserve">This audit also included verifying the service as suitable to provide medical level care under their current hospital certificate and verifying 12 existing rest home beds as suitable as dual purpose beds. </w:t>
      </w:r>
    </w:p>
    <w:p w:rsidRPr="00A4268A">
      <w:pPr>
        <w:spacing w:before="240" w:line="276" w:lineRule="auto"/>
        <w:rPr>
          <w:rFonts w:eastAsia="Calibri"/>
        </w:rPr>
      </w:pPr>
      <w:r w:rsidRPr="00A4268A">
        <w:rPr>
          <w:rFonts w:eastAsia="Calibri"/>
        </w:rPr>
        <w:t>The service is managed by a facility manager (non-clinical), who is supported by a clinical nurse manager and two clinical coordinators.  The residents and relatives interviewed all spoke positively about the care and support provided.</w:t>
      </w:r>
    </w:p>
    <w:p w:rsidRPr="00A4268A">
      <w:pPr>
        <w:spacing w:before="240" w:line="276" w:lineRule="auto"/>
        <w:rPr>
          <w:rFonts w:eastAsia="Calibri"/>
        </w:rPr>
      </w:pPr>
      <w:r w:rsidRPr="00A4268A">
        <w:rPr>
          <w:rFonts w:eastAsia="Calibri"/>
        </w:rPr>
        <w:t>This audit has identified the following areas requiring improvement: complaints management, corrective actions, human resources management, care planning, medication management, maintenance and hot water temperatures.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Information about services provided is readily available to residents and families.  The Health and Disability Commissioner (HDC) Code of Health and Disability Services Consumers' Rights (the Code) is presented to residents and their families during entry to the service.  Policies are implemented to support rights such as privacy, dignity, abuse and neglect, culture, values and beliefs, complaints, advocacy and informed consent.  Care planning accommodates individual choices of residents and/or their family/whānau.  Residents are encouraged to maintain links with the community.  Residents and family report communication with management and staff is open and transparent.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The facility manager is responsible for the day-to-day operations of the service and the clinical nurse manager is responsible for the clinical aspects of the service.  Goals are documented for the service.  A quality and risk management programme is documented.  The risk management programme includes managing adverse events and health and safety processes. </w:t>
      </w:r>
    </w:p>
    <w:p w:rsidRPr="00A4268A">
      <w:pPr>
        <w:spacing w:before="240" w:line="276" w:lineRule="auto"/>
        <w:rPr>
          <w:rFonts w:eastAsia="Calibri"/>
        </w:rPr>
      </w:pPr>
      <w:r w:rsidRPr="00A4268A">
        <w:rPr>
          <w:rFonts w:eastAsia="Calibri"/>
        </w:rPr>
        <w:t xml:space="preserve">Residents receive appropriate services from suitably qualified staff.  There is a scheduled training plan in plan and a documented orientation programme for new staff and volunteers.  </w:t>
      </w:r>
    </w:p>
    <w:p w:rsidRPr="00A4268A">
      <w:pPr>
        <w:spacing w:before="240" w:line="276" w:lineRule="auto"/>
        <w:rPr>
          <w:rFonts w:eastAsia="Calibri"/>
        </w:rPr>
      </w:pPr>
      <w:r w:rsidRPr="00A4268A">
        <w:rPr>
          <w:rFonts w:eastAsia="Calibri"/>
        </w:rPr>
        <w:t xml:space="preserve">Registered nursing cover is provided 24 hours a day, 7 days a week.  Residents and families report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clinical nurse manager takes primary responsibility for managing entry to the service with support from the facility manager.  Comprehensive service information is available.  A registered nurse completes initial assessments, including interRAI assessments.  The registered nurses complete the care plans and evaluations within the required timeframes.  Care plans are based on the interRAI outcomes and other assessments.  Each resident has access to an individual and group activities programme.  Medicines are stored appropriately in line with legislation and guidelines.  General practitioners review residents at least three-monthly or more frequently if needed.  Meals are prepared on-site under the direction of a dietitian.  The menu is varied and appropriate.  Individual and special dietary needs are catered for.  Residents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Chemicals are stored safely throughout the facility.  The bedrooms are all single and each have a hand basin and some rooms have ensuites.  There is sufficient space to allow the movement of residents around the facility using mobility aids.  There are several lounge and dining areas throughout the facility.  The internal areas are able to be ventilated and heated.  The outdoor areas are safe and easily accessible.  Cleaning and maintenance staff is providing appropriate services.  Staff have planned and implemented strategies for emergency management.  Emergency systems are in place in the event of a fire or external disaster.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policy in place that states the organisation’s philosophy to restraint minimisation.  The policy identifies that restraint is used as a last resort.  On the day of audit there were eight residents with restraint and six residents with enablers.  There is a restraint coordinator for the service, who is the clinical nurse manager.  Restraint minimisation, enabler use and challenging behaviour training is included in the training programme.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913"/>
        <w:gridCol w:w="1280"/>
        <w:gridCol w:w="874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policy and procedure is implemented.  Discussions with staff (eighteen healthcare assistants, seven registered nurses (RN), one health and safety rep, one recreational officer, one cook, one cleaner, one clinical manager, one facility manager and one general manager) confirm their familiarity with the Code.  Interviews with twelve residents (nine rest home and three hospital) and seven families (three rest home and four hospital) confirm the services being provided are in line with the Code.  The Code is discussed at resident, staff and quality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are discussed with residents and families on admission.  The resident or their EPOA signs written consents.  Nine resident files sampled (five rest home and four hospital- including two LTCHC), demonstrated that advanced directives are signed for separately.  There is evidence of discussion with family when the GP has completed a clinically indicated ‘not for resuscitation’ order.  Healthcare assistants and registered nurses interviewed confirmed verbal consent is obtained when delivering care.  Family members are involved in decisions that affect their relative’s lives.  All resident files sampled had a signed admission agreement signed on or before the day of admission and consents.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Interview with staff and residents informed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 with residents confirmed relatives and friends can visit at any time and are encouraged to be involved with the service and care.  Maintaining links with the community is encouraged.  Activities programmes include opportunities to attend events outside of the facility.  Discussion with staff, family and residents confirm residents are supported and encouraged to remain involved in the community and external groups.  The service is responsive to young people with disabilities and promotes access to family and friends and appropriate community groups.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complaints process.  There is a complaint form available.  Information about complaints is provided on admission.  Interview with residents demonstrated an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register.  Verbal and written complaints are documented.  There have been five complaints since the last audit in September 2106.  The complaint documentation was reviewed.  Not all complaints had been responded to in the required timeframes.  The complaints have been investigated by the service and corrective actions have been put in place where required.  Results are fed back to complainants.  Not all complainants had been provided with information on how to contact the Health and Disability Commission.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families confirmed they feel comfortable to bring up any concerns with the new facility manager and they feel the manager does address the issues that are raised.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of the Code on display throughout the facility and leaflets are available in the foyer of the facility.  Information is also given to next of kin or enduring power of attorney (EPOA) to read with the resident and discuss.  On entry to the service, the facility manager discusses the information pack with the resident and the family/whānau.  The information pack includes a copy of the Code.  All twelve residents (nine rest home, three hospital) and seven family (four hospital and three rest home) interviewed reported that the residents’ rights were being upheld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guide practice in respect of independence, privacy and respect.  The initial and ongoing assessment includes gaining details of people’s beliefs and values.  A tour of PSC Chalmers confirms there is the ability to support personal privacy for residents.  Staff were observed to be respectful of residents’ personal privacy by knocking on doors prior to entering resident rooms during the audit.  Staff interviewed could describe how they supported the residents admitted under a young person with disability contract to meet their personal, cultural and spiritually identity.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confirmed that staff are respectful, caring and maintain their dignity, independence and privacy at all times.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become an Eden registered home and has achieved two of the Eden principles.   A review of documentation, interviews with residents, relatives and staff highlighted how they demonstrate their commitment to maximising resident independence and make service improvements that reflect the wishes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to help meet the cultural needs of its residents.  There is a Māori health plan.  There was one resident who identified as Māori on the day of the audit and the resident’s cultural needs were addressed in the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Cultural and spiritual practice is supported and identified needs are incorporated into the care planning process and reviewed, as demonstrated in resident files sampled.  Discussions with staff confirm that they are aware of the need to respond to cultural differences.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meet the cultural needs of its residents.  All residents interviewed reported that they were satisfied that their cultural and individual values were being met.  </w:t>
            </w:r>
          </w:p>
          <w:p w:rsidR="00EB7645" w:rsidRPr="00BE00C7" w:rsidP="00BE00C7">
            <w:pPr>
              <w:pStyle w:val="OutcomeDescription"/>
              <w:spacing w:before="120" w:after="120"/>
              <w:rPr>
                <w:rFonts w:cs="Arial"/>
                <w:b w:val="0"/>
                <w:lang w:eastAsia="en-NZ"/>
              </w:rPr>
            </w:pPr>
            <w:r w:rsidRPr="00BE00C7">
              <w:rPr>
                <w:rFonts w:cs="Arial"/>
                <w:b w:val="0"/>
                <w:lang w:eastAsia="en-NZ"/>
              </w:rPr>
              <w:t>Information gathered during assessment including resident’s cultural beliefs and values, is used to develop a care plan, which the resident (if appropriate) and/or their family/whānau are asked to consult on.  Staff receive training on cultural awareness.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Discrimination, coercion, exploitation and harassment policies and procedures are in place.  Code of conduct and position descriptions outline staff responsibilities in terms of providing a discrimination free environment.  The Code of Rights is included in orientation and in-service training.  Interviews with staff confirm their understanding of discrimination and exploitation and could describe how professional boundaries are maintained.  Discussions with residents identify that privacy is ensured.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for residents with aged care needs.  Staffing policies include pre-employment and the requirement to attend orientation and ongoing in-service training.  Residents interviewed spoke very positively about the care and support provided.  The recent resident survey has identified some areas requiring improvement.  A resident meeting has been scheduled for April to discuss the survey findings and in consultation with the residents, develop the improvement goals for the 2017-2018 business plan.  Staff interviewed had a sound understanding of principles of aged care and stated that they feel supported by the management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stated they were welcomed on entry and were given time and explanation about the services and procedures.  Accident/incidents, complaints procedures and the policy and process around open disclosure alerts staff to their responsibility to notify family/next of kin of any accident/incident, ensuring full and frank open disclosure occurs.  Nine incidents/accidents forms were reviewed.  Accident/incident forms have a section to indicate if family have been informed (or not) of an accident/incident.  All forms reviewed identified family were notified following a resident incident.  Relatives interviewed confirmed that they are notified of any changes in their family member’s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Chalmers Elderly Care is owned and operated by Presbyterian Support Central organisation.  The service provides rest home and hospital level care for up to 80 residents.  There are 22 dual purpose beds.  On the day of the audit there were forty-one rest home residents (including one resident on an ACC contract, one resident admitted under the young person with disability contract (YPD) and two private residents who have not been assessed).  There were thirty hospital residents (including one resident admitted under an ACC contract, one resident under a long term chronic contract and one resident admitted under YPD contract).  There were five hospital and four rest home residents in the dual-purpose beds.</w:t>
            </w:r>
          </w:p>
          <w:p w:rsidR="00EB7645" w:rsidRPr="00BE00C7" w:rsidP="00BE00C7">
            <w:pPr>
              <w:pStyle w:val="OutcomeDescription"/>
              <w:spacing w:before="120" w:after="120"/>
              <w:rPr>
                <w:rFonts w:cs="Arial"/>
                <w:b w:val="0"/>
                <w:lang w:eastAsia="en-NZ"/>
              </w:rPr>
            </w:pPr>
            <w:r w:rsidRPr="00BE00C7">
              <w:rPr>
                <w:rFonts w:cs="Arial"/>
                <w:b w:val="0"/>
                <w:lang w:eastAsia="en-NZ"/>
              </w:rPr>
              <w:t>This certification audit also included verifying the service as suitable to provide medical level care under their current hospital certificate and verifying 12 existing rest home beds as suitable as dual purpose beds.</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(non-clinical) has been at the facility since December 2016.  The facility manager comes from a management role in community mental health and has a Bachelor of Health Science.  The facility manager has completed the PSC manager’s orientation and is developing links with other aged care agencies in the region.  The facility manager is being closely supported by the PSC clinical director and the PSC general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supported on-site by a clinical nurse manager and two clinical coordinators (rest home and hospital).  The clinical nurse manager is responsible for clinical care on-site.  The service’s structure supports the implementation of PSC’s quality management systems and provides ongoing leadership and management support.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Central (PSC) has an overall business/strategic plan, philosophy of care and mission statement.  Chalmers Elderly Care has a facility specific business plan which links to the organisation’s strategic plan.  Chalmers philosophy reflects a person/family centred approach.  There is evidence the business plan is being implemented and reported on.  </w:t>
            </w:r>
          </w:p>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has completed more than eight hours of professional development relating to the management of an aged care service in the past twelve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facility manager, the clinical nurse manager is in charge with support from the unit coordinators and the PSC clinical director.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quality and risk management system in place.  PSC has an overall Quality Monitoring Programme (QMP) that is part of the quality programme.  Interviews with the facility manager, clinical nurse manager, unit coordinators and care staff reflected their understanding of the quality and risk management systems that have been put into place.  The senior team meeting acts as the Quality Committee and they meet twice a month.  Information is fed back to the monthly clinical focused meetings and staff meetings.  A range of other meetings are held at the facility.  Meeting minutes and reports are provided to the quality meeting, actions are identified in minutes and quality improvement forms are being signed off and reviewed for effectiveness.  </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documented to provide assurance that the service is meeting accepted good practice and adhering to relevant standards - including those standards relating to the Health and Disability Services (Safety) Act 2001.  The content of policy and procedures are detailed to allow effective implementation by staff.  A document control system to manage policies and procedures is in place.</w:t>
            </w:r>
          </w:p>
          <w:p w:rsidR="00EB7645" w:rsidRPr="00BE00C7" w:rsidP="00BE00C7">
            <w:pPr>
              <w:pStyle w:val="OutcomeDescription"/>
              <w:spacing w:before="120" w:after="120"/>
              <w:rPr>
                <w:rFonts w:cs="Arial"/>
                <w:b w:val="0"/>
                <w:lang w:eastAsia="en-NZ"/>
              </w:rPr>
            </w:pPr>
            <w:r w:rsidRPr="00BE00C7">
              <w:rPr>
                <w:rFonts w:cs="Arial"/>
                <w:b w:val="0"/>
                <w:lang w:eastAsia="en-NZ"/>
              </w:rPr>
              <w:t>The quality and risk management programme includes an internal audit programme, data collection, analysis and review of adverse events including accidents, incidents, infections, wounds and pressure injuries.  The quality data that is collected is entered on the PSC database and benchmarked against other facilities in the group.  A corrective action process is not always implemented where opportunities for improvements are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which includes quarterly health and safety meetings.  The facility manager is currently the health and safety officer. There are two health and safety representatives who have completed health and safety training.  An interview with one of the health and safety representatives and a review of the health and safety documentation confirmed that legislative requirements are being met.  There was a current hazard register for the site.  The hazard register is regularly reviewed (last reviewed September 2016).  External contractors have been orientated to the facility’s health and safety programme.  Emergency plans ensure appropriate response in an emergency.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 number of improvements since the last audit including: the installation of a new sluice and overhead hoists, the reconfiguration of the treatment and medication room and refurbishment of resident bedrooms.  Chalmers is currently working on quality initiatives to improve the dining experience for the residents and implementation of additional Eden principles.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including the analysis of falls and the identification of interventions on a case-by-case basis to minimise future falls.  Selected residents wear hip protectors to reduce injury from falls and sensor mats are in place to reduce the number of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accidents and incidents reporting policy is in place.  Incident/accident forms are completed by staff who either witnessed an adverse event or were the first to respond.  The resident is reviewed by the RN at the time of the event.  Nine incident forms were reviewed and all were completed appropriately and in a comprehensive manner.  In the resident files reviewed there was evidence of completed accident/incident forms for that resident, the events were documented in the progress notes and the adverse event had been communicated to families.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facility manager and clinical manager confirmed their awareness of the requirement to notify relevant authorities in relation to essential notifications.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management policies in place which includes the recruitment and staff selection process.  Relevant checks are completed to validate the individual’s qualifications, experience and veracity, evidenced in the nine staff files randomly selected for review (one facility manager, one clinical manager, three healthcare assistants, one registered nurse, one recreational officer, one office administrator and one cook).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Copies of practising certificates are kept on file.  The service has recently implemented the new PSC orientation programme.  This programme requires all healthcare assistants to complete the New Zealand Certificate in Health and Wellbeing level 2 qualification within the first 32 weeks of employment.  There is an enrolled nurse providing support to the staff completing this qualification.  Evidence of completed induction checklists were sighted in all nine staff files.  Not all recruitment documentation or the required orientation was completed in the volunteer files sampled.  Care staff interviewed stated that they believed new staff were adequately orientated to the service.  Annual staff appraisals were up to date. </w:t>
            </w:r>
          </w:p>
          <w:p w:rsidR="00EB7645" w:rsidRPr="00BE00C7" w:rsidP="00BE00C7">
            <w:pPr>
              <w:pStyle w:val="OutcomeDescription"/>
              <w:spacing w:before="120" w:after="120"/>
              <w:rPr>
                <w:rFonts w:cs="Arial"/>
                <w:b w:val="0"/>
                <w:lang w:eastAsia="en-NZ"/>
              </w:rPr>
            </w:pPr>
            <w:r w:rsidRPr="00BE00C7">
              <w:rPr>
                <w:rFonts w:cs="Arial"/>
                <w:b w:val="0"/>
                <w:lang w:eastAsia="en-NZ"/>
              </w:rPr>
              <w:t>An in-service education programme is being implemented; however, attendance at the on-site education sessions provided is low.  In-services are provided by a range of in-house and external speakers including (but not limited to) nurse specialists, hospice and the Health and Disability Advocacy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of seven registered nurses are interRAI trained.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Sufficient staff are rostered to manage the care requirements of the residents.  The facility manager works full-time and is on call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(RN) and the registered nurse unit coordinators (rest home and hospital) work Monday to Friday.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(forty-one residents) is staffed on a morning shift with a registered nurse (or an enrolled nurse/senior healthcare assistant) and five healthcare assistants (three full shifts and two short shifts).  On an afternoon shift, there is a registered nurse (or an enrolled nurse/senior health care assistant) and three healthcare assistants.  On nights, there are two healthcare assistants.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(thirty residents) is staffed on a morning shift with a registered nurse and six healthcare assistants.  On an afternoon shift, there is one registered nurse and four healthcare assistants (two long and two short shifts).  On nights, there is one registered nurse and one healthcare assistant.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Extra staff can be called on for increased resident requirements.  There are adequate staffing resources to cater for a change in acuity with the conversion of 12 existing rest home beds to dual purpose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staff are rostered five days a week in the rest home/hospital.  There are separate domestic staff who are responsible for cleaning and laundry services. There are dedicated kitchen staff.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residents and family members identified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Informed consent to display photographs is obtained from residents/family/whānau on admission.  Information containing sensitive resident information is not displayed in a way that can be viewed by other residents or members of the public.  Entries in records are legible, dated and signed by the relevant healthcare assistant or registered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an information pack outlining services able to be provided, the admission process and entry to the service.  The clinical nurse manager screens all potential residents prior to entry and records all admission enquires.  Residents and relatives interviewed confirmed they received information prior to admission and had the opportunity to discuss the admission agreement with the clinical nurse manager and facility manager.  The admission agreement form in use aligns with the requirements of ARC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Relatives are notified if transfers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Eighteen medication files were sampled (eight hospital and ten rest home).  The service uses an electronic medication management system.  Resident photos are reviewed six-monthly and updated as required.  All electronic medication charts reviewed included and recorded any changes to medication doses.  The medication management policies and procedures comply with medication legislation and guidelines.  Residents’ medicines are stored securely in the medication room/cupboard.  Registered nurses administer medicines.  A medication round was observed and identified practices that did not align with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that administer medication are competent and have received medication management training.  The facility uses a blister packed medication management system for the packaging of all tablets.  The RN on duty reconciles the delivery and documents this.  There was evidence of three-monthly reviews by the GP.  One resident was self-administering their own medicines.  The documentation was correctly recorded and a competency assessment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fully functional kitchen and all food is cooked on-site.  There is a food services manual in place to guide staff.  The kitchen manager advised that a resident nutritional profile is developed for each resident on admission.  Nutritional profiles were available in the kitchen for all residents.  The nutritional profile is reviewed at least six-monthly as part of the care plan review.  The kitchen is able to meet the needs of residents who require special diets and the kitchen manager works closely with the RNs on duty.  Kitchen staff interviewed were aware of specific resident needs including (but not limited to) food allergies and diabetic diets.  All kitchen staff have completed food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follows a rotating seasonal menu, which was reviewed annually by an external dietitian.  Refrigerators, freezers and cooked food temperatures are monitored and recorded.  All food is stored appropriately.  Food is delivered via bain-marie to each dining room.  Residents and the family members interviewed were very happy with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should this occur and communicates this decision to family/whānau and the referring agency.  Anyone declined entry is referred back to the referring agency for appropriate placement and advice.  Information on alternate placement options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Nine files sampled indicated that all appropriate personal needs information was gathered during admission, in consultation with the resident and their relative where appropriate.  Files sampled contained appropriate assessment tools that were completed.  Assessments had been reviewed when there was a change to a resident’s health condition.  Care plans sampled were developed based on these assessments.  However, not all care plans reviewed described the level of support required to meet the goals and needs identified for the resident (link 1.3.5.2).  The interRAI assessment tool is implemented.  InterRAI assessments have been completed for all resident files sampled.  InterRAI assessments had been reviewed six-monthly.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Overall resident short-term and long-term care plans reviewed described the support required to meet the resident’s goals and needs.  However, interventions were not always updated in care plans to include allied health and other specialist (DHB wound care nurse specialist and dietitian) involvement/instructions.  The interRAI assessment informs the development of the resident’s care plan.  Residents and their family/whānau interviewed, reported that they are involved in the care planning and review process.  Staff interviewed were familiar with residents’ current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HCAs, follow the care plan and report progress against the care plan at handovers.  If external nursing or allied health advice is required, the RNs will initiate a referral.  If external medical advice is required, this will be actioned by the GPs.  Clinical staff have access to sufficient medical supplies (dressings and wound care products).  Sufficient continence products are available and resident files include a continence assessment and management plan.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management plans were fully documented for all current wounds.  Wound re-assessment and rationale for when changes were made to the wound plan were fully documented in wound progress notes, with each dressing change.  Dates for re-assessment by registered nurses were indicated on the wound plan and staff designation was recorded in all wound plans sampled.  There were fifteen wounds present on the day of audit.  All wounds have been assessed and reviewed in appropriate timeframes.  The RNs have access to specialist nursing wound care management advice through the district nursing service.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registered nurses and HCAs demonstrated an understanding of the individualised needs of residents.  Care plan interventions did not always document the interventions in sufficient detail to guide the care staff (link 1.3.5.2).  There was evidence of pressure injury prevention interventions such as two-hourly turning charts (link 1.3.5.2), food and fluid charts, regular monitoring of bowels and regular (monthly or more frequently if required) weight management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recreation team leader is employed to operate the activities programme for all residents.  The service had achieved two Eden principles.  The programme operates seven days a week.  The programme is supported by volunteers (three current), community clubs (local sewing club and lions club) and entertainers.  HCAs have access to activities and provide some support after hours and on the weekends.  The team leader drives the van on weekly outings.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activities assessment is completed on admission, in consultation with the resident/family (as appropriate), which is incorporated into the interRAI assessment process.  An activities section in the resident file includes an activities assessment, life experiences and an activity care plan.  The activity care plan includes activities to meet resident’s needs (physical, cognitive, creative, social, sensory, spiritual and domestic) and includes family and community interests.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generally conducted in the lounges for the rest home and hospital residents, or the smaller lounges in the hospital and rest home wings. </w:t>
            </w:r>
          </w:p>
          <w:p w:rsidR="00EB7645" w:rsidRPr="00BE00C7" w:rsidP="00BE00C7">
            <w:pPr>
              <w:pStyle w:val="OutcomeDescription"/>
              <w:spacing w:before="120" w:after="120"/>
              <w:rPr>
                <w:rFonts w:cs="Arial"/>
                <w:b w:val="0"/>
                <w:lang w:eastAsia="en-NZ"/>
              </w:rPr>
            </w:pPr>
            <w:r w:rsidRPr="00BE00C7">
              <w:rPr>
                <w:rFonts w:cs="Arial"/>
                <w:b w:val="0"/>
                <w:lang w:eastAsia="en-NZ"/>
              </w:rPr>
              <w:t>Residents are free to choose to participate in the group activities programme or their individual plan.  Participation is monitored via a daily attendance record.  There is a set activity programme for the two different levels of care that is resident-focused and is planned around meaningful everyday activities such as gardening, baking, reminiscing, music therapy and completing tasks (folding washing).  There is a ‘computer reader’ which enlarges print to read (includes books and newspapers), applicable for some residents.  There is a daily exercise programme run by the team leader.  All residents can be involved in gardening and pets are welcomed as part of the home environment and the Eden Philosophy of Care.  There is a corrective action in place to address resident feedback about the activities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long-term resident files sampled have an activities plan within the care plan.  However, in nine of nine files sampled there was no evidence of outcomes measured against goal achievement (link 1.3.8.2)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evaluate all initial care plans within three weeks of admission.  Files sampled demonstrated that the long-term care plan was evaluated at least six-monthly or earlier if there is a change in health status.  There was at least a three-monthly review (medical assessment and review of medications) by the GP.  Re-assessments have been completed using interRAI LTCF for all residents who have had a significant change in health status since 1 July 2015.  Where progress is different from expected, the service responds by initiating changes to the care plan.  Overall, short-term care plans sighted were evaluated and resolved, or added to the long-term care plan where the problem was ongoing.  </w:t>
            </w:r>
          </w:p>
          <w:p w:rsidR="00EB7645" w:rsidRPr="00BE00C7" w:rsidP="00BE00C7">
            <w:pPr>
              <w:pStyle w:val="OutcomeDescription"/>
              <w:spacing w:before="120" w:after="120"/>
              <w:rPr>
                <w:rFonts w:cs="Arial"/>
                <w:b w:val="0"/>
                <w:lang w:eastAsia="en-NZ"/>
              </w:rPr>
            </w:pPr>
            <w:r w:rsidRPr="00BE00C7">
              <w:rPr>
                <w:rFonts w:cs="Arial"/>
                <w:b w:val="0"/>
                <w:lang w:eastAsia="en-NZ"/>
              </w:rPr>
              <w:t>All long-term resident files sampled have an activities plan within the care plan.  However, the evaluations did not document evidence of evaluation/outcomes measured against goal achievement.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RNs initiate referrals to nurse specialists and allied health services.  Other specialist referrals are made by the GPs.  Referrals and options for care were discussed with the family, as evidenced in medical notes.  The staff provided examples of where a resident’s condition had changed and the resident was reassessed.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in waste management.  All staff interviewed was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were stored safely throughout the facility.  Safety data sheets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18 October 2017.  Since the previous audit, improvements have been made to the garden areas and some resident bedrooms have been refurbished.  The maintenance manager undertakes the reactive maintenance and works 40 hours per week.  The maintenance manager also looks after the grounds and is available after hours for emergencies.  Scheduled maintenance is arranged and managed through PSC head office.  Not all reactive maintenance had been noted on the schedule or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medical and electrical equipment was recently serviced and/or calibrated.  Hot water temperatures are monitored and were evidenced on day of audit to be above 45 degrees Celsius.  The facility has sufficient space for residents to mobilise using mobility aids.  External areas are maintained.  Residents have access to safely designed external areas that have shade.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 adequate number of toilets and shower/bathing areas for residents and separate toilets for staff and visitors.  Some bedrooms have ensuites and other residents share communal toilets and showers.  Residents interviewed confirmed their privacy is assured when staff is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several lounges, quiet areas and dining areas to meet the needs of the residents.  Staff assist residents to access communal living areas as required and this was observed on the day of the audit.  There are two main lounge areas to allow for activities, resident relaxation and provide privacy for residents and visitors.  Each wing has a smaller lounge.  The facility design allows for freedom of movement for all residents including those with mobility aids.  There is sufficient space in the lounge and dining areas to accommodate the needs of the hospital residents with the increase in the dual-purpose beds.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Dedicated cleaning staff are rostered on to clean the facility.  They have access to a range of chemicals, cleaning equipment and protective clothing.  The standard of cleanliness is monitored through the internal audit programme.  Residents interviewed were satisfied with the standard of cleanliness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Dedicated laundry staff completes all laundry on-site in an appropriately appointed laundry.  Residents interviewed were satisfied with the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fire evacuation plan is in place that has been approved by the New Zealand Fire Service.  There are emergency management plans in place to ensure health, civil defence and other emergencies are included.  Six-monthly fire evacuation practise documentation was sighted.  A contracted service provides checking of all facility equipment including fire equipment.  Fire training and security situations are part of orientation of new staff and include competency assessments.  Emergency equipment is available at the facility.  There are adequate supplies in the event of a civil defence emergency including food, water, blankets and gas cooking.  Short term back-up power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minimum of one person trained in first aid and cardiopulmonary resuscitation (CPR) is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in the residents’ rooms and lounge/dining room areas.  Residents were observed to have their call bells in close proximity.  The residents reported that at times the call bell response times were slow.  The call bell response time report showed call bell response times were between two to fifty minutes (link 1.2.3.8).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All rooms have external windows that open allowing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PSC Chalmers has an established infection control programme.  The infection control programme, its content and detail, is appropriate for the size, complexity and degree of risk associated with the service.  It is linked into the incident reporting system.  The registered nurse is the designated infection control coordinator with support from all staff.  Spot audits have been conducted and include hand hygiene and infection control practices.  Education is provided for all new staff on orientation.  The infection control programme has been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at PSC Chalmers is the designated infection control (IC) coordinator.  There are adequate resources to implement the infection control programme for the size and complexity of the organisation.  The IC nurse and IC team (comprising all staff) has good external support from the PSC clinical director team and Taranaki Public Health.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PSC infection control policies and procedures appropriate to for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policy states that the facility is committed to the ongoing education of staff and residents.  Formal infection control education for staff has occurred.  The infection control coordinator has completed a level 7 paper in infection control at CPIT and has completed the MOH online infection control training.  Visitors are advised of any outbreaks of infection and are advised not to attend until the outbreak has been resolved.  Information is provided to residents and visitors that is appropriate to their needs and this is documented in medical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the PSC’s infection control manual.  Monthly infection data is collected for all infections based on signs and symptoms of infection.  Short-term care plans are used.  Surveillance of all infections is entered onto a monthly infection summary.  This data is monitored and evaluated monthly and annually.  Outcomes and actions are discussed at staff meetings.  If there is an emergent issue, it is acted upon in a timely manner.  Reports are easily accessible to the facility and clinical manager.  There have been no outbreaks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include definition of restraint and enabler that are congruent with the definition in NZS 8134.0.  There is a restraint policy in place that states the organisations philosophy to restraint minimisation.  The policy identifies that restraint is used as a last resort.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hospital residents were using restraint (bedrails) and six hospital residents were using enablers (bedrails).  An assessment was completed and written consent was provided by the residents for the use of the enablers and the restraints.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their understanding of the differences between a restraint and an enabler.</w:t>
            </w:r>
          </w:p>
          <w:p w:rsidR="00EB7645" w:rsidRPr="00BE00C7" w:rsidP="00BE00C7">
            <w:pPr>
              <w:pStyle w:val="OutcomeDescription"/>
              <w:spacing w:before="120" w:after="120"/>
              <w:rPr>
                <w:rFonts w:cs="Arial"/>
                <w:b w:val="0"/>
                <w:lang w:eastAsia="en-NZ"/>
              </w:rPr>
            </w:pPr>
            <w:r w:rsidRPr="00BE00C7">
              <w:rPr>
                <w:rFonts w:cs="Arial"/>
                <w:b w:val="0"/>
                <w:lang w:eastAsia="en-NZ"/>
              </w:rPr>
              <w:t>Staff receive regular training around restraint minimisation that begins during their induction to the service.  A restraint competency questionnaire is completed by staff each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is the clinical manager.  Restraint minimisation policies and procedures describe approved restraints.  Restraint use is discussed in the monthly staff meetings and the fortnightly senior team meeting.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is responsible for assessing a resident’s need for restraint.  Restraint assessments are based on information in the resident’s care plan, discussions with the resident and family and observations by staff.  Assessment tools are in place for restraint use.  Four residents’ files where restraint was being used, were selected for review.  Each resident using restraint had a restraint assessment completed.  Family had signed informed consent for restraint use.  The restraint assessment addressed risks associated with restraint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being implemented.  The register identifies the residents that are using a restraint or an enabler.  Eight hospital residents were listed on the register as using restraint and six hospital residents were listed as using enablers.  The types of restraints and enablers used were bedrails.  </w:t>
            </w:r>
          </w:p>
          <w:p w:rsidR="00EB7645" w:rsidRPr="00BE00C7" w:rsidP="00BE00C7">
            <w:pPr>
              <w:pStyle w:val="OutcomeDescription"/>
              <w:spacing w:before="120" w:after="120"/>
              <w:rPr>
                <w:rFonts w:cs="Arial"/>
                <w:b w:val="0"/>
                <w:lang w:eastAsia="en-NZ"/>
              </w:rPr>
            </w:pPr>
            <w:r w:rsidRPr="00BE00C7">
              <w:rPr>
                <w:rFonts w:cs="Arial"/>
                <w:b w:val="0"/>
                <w:lang w:eastAsia="en-NZ"/>
              </w:rPr>
              <w:t>The four restraint assessments reviewed identified that restraint is being used only as a last resort.  The restraint assessment process includes determining the frequency of monitoring while restraint is in use.  Restraint use was linked to the residents’ care plans.  In four of four restraint files sampled, interventions to manage the specific risks were not documented or where documented, were not specific enough to guide the care staff (link 1.3.5.2).  Care staff have been updated on restraint procedures and documentation requirements and take responsibility to ensure restraint monitoring is correctly documented.  Restraint policy indicates that all residents are monitored two-hourly at a minimum.  Monitoring forms for the files reviewed were completed and included when the restraint was put on and when it was taken off.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evaluation of restraint every three months.  All restraint files reviewed evidenced that three-monthly elevations had occurred.  Restraint practices are reviewed on a formal basis every month by the restraint coordinator at the quality meetings.  Evaluation timeframes are determined by policy and risk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review of all enablers and restraints in use occurs monthly at the senior team meeting.  An annual review of the restraint minimisation programme is completed by the Resident Safety Group at an organisational level.  The reviews include identifying trends in restraint use, reviewing restraint minimisation policies and procedures and reviewing the staff education and competency assessments.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6"/>
        <w:gridCol w:w="1280"/>
        <w:gridCol w:w="4769"/>
        <w:gridCol w:w="4381"/>
        <w:gridCol w:w="14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1.1.13.1</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easily accessed, responsive, and fair complaints process, which is documented and complies with Right 10 of the Code.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management policy that complies with the requirements of the Code.  The service has complaint forms available throughout the facility.  The facility manager (interviewed) advised that complaints are documented in the complaints register.  All complaints are investigated and where required, corrective actions are implemented.  Not all complaints had been managed within the required timeframes and not all complainants had been provided with information on how to contact the Health and Disability Commission.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Three of five complaints received since the last audit were not responded to within the timeframes required by the Code.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Two of five complaint responses did not include information on how to contact the Health and Disability Commission.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that complaints management complies with the requirements of the Code and the organisational policy on complaints management.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captures quality improvement data (clinical indicators, health and safety, infection control, accidents and incidents, internal audits and complaints).  The quality data that is collected is entered on the PSC database and benchmarked against other facilities in the group. </w:t>
            </w:r>
          </w:p>
          <w:p w:rsidR="00EB7645" w:rsidRPr="00BE00C7" w:rsidP="00BE00C7">
            <w:pPr>
              <w:pStyle w:val="OutcomeDescription"/>
              <w:spacing w:before="120" w:after="120"/>
              <w:rPr>
                <w:rFonts w:cs="Arial"/>
                <w:b w:val="0"/>
                <w:lang w:eastAsia="en-NZ"/>
              </w:rPr>
            </w:pPr>
            <w:r w:rsidRPr="00BE00C7">
              <w:rPr>
                <w:rFonts w:cs="Arial"/>
                <w:b w:val="0"/>
                <w:lang w:eastAsia="en-NZ"/>
              </w:rPr>
              <w:t>Where the quality data is identifying opportunities for improvement at the service, corrective actions have not always been documented where required.  Staff could describe where corrective actions have been implemented, however these have not been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Corrective action plans have not always been documented where improvements are required.  For example, hot water temperatures and nurse call bell response times.</w:t>
            </w:r>
          </w:p>
          <w:p w:rsidR="00EB7645" w:rsidRPr="00BE00C7" w:rsidP="00BE00C7">
            <w:pPr>
              <w:pStyle w:val="OutcomeDescription"/>
              <w:spacing w:before="120" w:after="120"/>
              <w:rPr>
                <w:rFonts w:cs="Arial"/>
                <w:b w:val="0"/>
                <w:lang w:eastAsia="en-NZ"/>
              </w:rPr>
            </w:pPr>
            <w:r w:rsidRPr="00BE00C7">
              <w:rPr>
                <w:rFonts w:cs="Arial"/>
                <w:b w:val="0"/>
                <w:lang w:eastAsia="en-NZ"/>
              </w:rPr>
              <w:t>(ii) Corrective actions have not been documented for clinical indicators above the benchmark (eg, increase in urinary tract infections in the summer and respiratory tract infections in the winter).  Staff could describe where corrective actions have been implemented as a result of clinical indicators being above the benchmark and therefore this finding has been identified as low risk.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that corrective actions plans are documented where opportunities for improvement are noted and the corrective action plans are then implemented, reviewed and signed off once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PSC Chalmers has policies in place for the recruitment, validation, verification and orientation of new staff members.  The service also has policies in place for the recruitment and orientation of volunteers.  There are a number of volunteers providing support to the recreational programme at PSC Chalmers.  In the volunteer files sampled, only two of eight files could evidence that the PSC volunteer recruitment documentation and orientation had been fully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Six of eight volunteer files sampled had no evidence of completion of the required volunteer orientation.</w:t>
            </w:r>
          </w:p>
          <w:p w:rsidR="00EB7645" w:rsidRPr="00BE00C7" w:rsidP="00BE00C7">
            <w:pPr>
              <w:pStyle w:val="OutcomeDescription"/>
              <w:spacing w:before="120" w:after="120"/>
              <w:rPr>
                <w:rFonts w:cs="Arial"/>
                <w:b w:val="0"/>
                <w:lang w:eastAsia="en-NZ"/>
              </w:rPr>
            </w:pPr>
            <w:r w:rsidRPr="00BE00C7">
              <w:rPr>
                <w:rFonts w:cs="Arial"/>
                <w:b w:val="0"/>
                <w:lang w:eastAsia="en-NZ"/>
              </w:rPr>
              <w:t>ii) Five of eight volunteer files sampled had no evidence of a signed volunteer agreement.</w:t>
            </w:r>
          </w:p>
          <w:p w:rsidR="00EB7645" w:rsidRPr="00BE00C7" w:rsidP="00BE00C7">
            <w:pPr>
              <w:pStyle w:val="OutcomeDescription"/>
              <w:spacing w:before="120" w:after="120"/>
              <w:rPr>
                <w:rFonts w:cs="Arial"/>
                <w:b w:val="0"/>
                <w:lang w:eastAsia="en-NZ"/>
              </w:rPr>
            </w:pPr>
            <w:r w:rsidRPr="00BE00C7">
              <w:rPr>
                <w:rFonts w:cs="Arial"/>
                <w:b w:val="0"/>
                <w:lang w:eastAsia="en-NZ"/>
              </w:rPr>
              <w:t>iii) Three of eight volunteer files sampled had no evidence of completion of the required reference checks.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recruitment and orientation of volunteers complies with all PSC organisational policies and procedures.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Chalmers is implementing the PSC education calendar which covers the training requirements required by the Health and Disability Sector Standards and the ARRC, over a three-year cycle.  The registered nurses also attend the core training days provided by PSC.  The registered nurses also provide toolbox talks as required, at handover.  The registered nurses are required to complete self-directed learning packages and participate in the PSC Professional Development Recognition Programme.  Staff have completed the required competencies including (but not limited to): medication, syringe driver, handwashing, manual handling and food safety.  Individual training records are kept.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delivered more than eight hours of professional development annually.  However, there has been low attendance at the training provided on-site over the 2016 and 2017 year to date.  The service has documented and implemented a corrective action plan in March to address the low attendance. </w:t>
            </w:r>
          </w:p>
          <w:p w:rsidR="00EB7645" w:rsidRPr="00BE00C7" w:rsidP="00BE00C7">
            <w:pPr>
              <w:pStyle w:val="OutcomeDescription"/>
              <w:spacing w:before="120" w:after="120"/>
              <w:rPr>
                <w:rFonts w:cs="Arial"/>
                <w:b w:val="0"/>
                <w:lang w:eastAsia="en-NZ"/>
              </w:rPr>
            </w:pPr>
            <w:r w:rsidRPr="00BE00C7">
              <w:rPr>
                <w:rFonts w:cs="Arial"/>
                <w:b w:val="0"/>
                <w:lang w:eastAsia="en-NZ"/>
              </w:rPr>
              <w:t>Of the 39 healthcare assistants, 26 have completed Level 2 HCA training/education via Careerforce, 5 are underway Level 2 and 8 are completing level 3 training/education via Careerforce.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Attendance at the on-site education sessions over the 2016 and 2017 (YTD) has been low.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attendance at on-site education is appropriate.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describe a medication system to manage the safe delivery of medications for residents.  Medication rounds (hospital and rest home) were reviewed at lunchtime.  One round observed, the nurse did not administer medications as per policy, medication legislation and guidelines.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registered nurse was observed administering medications to hospital residents without checking prior ‘as required’ medication given.  RN was observed on two occasions to sign for medications prior to administration.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medication administration practices align with policy, legislation and guidelines.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had initial care plans documented.  Overall care plans documented the required support or interventions for identified needs as directed via the assessment process.  However, shortfalls were identified around restraint interventions, allied health input and risk management.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Shortfalls were identified across the following care plans reviewed: (i) There was a comprehensive DHB rehabilitation discharge summary in place for one rest home resident, however, interventions from the discharge plan were not included on a STCPs or added to the initial care plan to guide staff around the support required; (ii) One rest home care plan reviewed did not have interventions documented as instructed by allied health; (iii) Two of nine care plans reviewed (one hospital and one rest home), did not document falls prevention strategies in sufficient detail to guide care; (iv) One hospital care plan reviewed did not include pressure injury preventions interventions; (iii) Five hospital residents with restraint did not have interventions clearly documented to manage the risks related to restraint in their care plans.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(i)-(iv) Ensure all resident care plans document the required support needs and/or relevant interventions obtained via ongoing assessment process to guide care.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care plans reviewed had a six-monthly evaluation completed.  The activities team leader interviewed confirmed evaluations/outcomes against goals are documented in the care plan.  In all files sampled, there was no evidence of outcomes measured against goal achievement.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long-term resident files reviewed (four hospital and two rest home) sampled did not evidence documented evaluations/outcomes against goals achieved.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activity care plan is evaluated against the stated goals as a change occurs or at least six-monthly.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planned and reactive maintenance schedule in place.  The maintenance manager undertakes the reactive maintenance and works 40 hours per week.  The maintenance manager also looks after the grounds and is available after hours for emergencies.  Scheduled maintenance is arranged and managed through PSC head office.  Reactive maintenance is being completed.  However, on the day of audit, the lino was lifting in two resident bathrooms and this was not noted on the reactive maintenance plan.  All electrical and medical equipment is tested and where required, calibrated at least annually.  Hot water temperatures are checked and in the past three months, water temperatures in resident areas were noted to be between 45-53 degrees Celsius.  The valves were adjusted and the temperatures were rechecked.  However, not all temperatures were reduced to 45 degrees.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Two resident bathrooms (WC1 and WC3) had lino lifting and this was not listed on the reactive maintenance schedule and no repairs had been scheduled.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In five of twelve resident bedrooms, the water temperatures were noted to be between 48 and 53 degrees Celsius.  As yet no corrective actions had been taken.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all reactive maintenance is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all hot water temperatures in resident areas are within safe and appropriate temperatures as per relevant legislation and guidelines.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Central - Chalmers Elderly Care</w:t>
    </w:r>
    <w:bookmarkEnd w:id="58"/>
    <w:r>
      <w:rPr>
        <w:rFonts w:cs="Arial"/>
        <w:sz w:val="16"/>
        <w:szCs w:val="20"/>
      </w:rPr>
      <w:tab/>
      <w:t xml:space="preserve">Date of Audit: </w:t>
    </w:r>
    <w:bookmarkStart w:id="59" w:name="AuditStartDate1"/>
    <w:r>
      <w:rPr>
        <w:rFonts w:cs="Arial"/>
        <w:sz w:val="16"/>
        <w:szCs w:val="20"/>
      </w:rPr>
      <w:t>27 March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