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Fergusson Home Limited - Fergusson Home and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Fergusson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Fergusson Home and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April 2017</w:t>
      </w:r>
      <w:bookmarkEnd w:id="7"/>
      <w:r w:rsidRPr="009418D4">
        <w:rPr>
          <w:rFonts w:cs="Arial"/>
        </w:rPr>
        <w:tab/>
        <w:t xml:space="preserve">End date: </w:t>
      </w:r>
      <w:bookmarkStart w:id="8" w:name="AuditEndDate"/>
      <w:r w:rsidR="00A4268A">
        <w:rPr>
          <w:rFonts w:cs="Arial"/>
        </w:rPr>
        <w:t>21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Fergusson Home and Retirement Village (Fergusson Home) provides rest home and hospital level care for up to 44. The service is operated by The Cantabria Group and managed by a nurse manager who is supported by a team of registered and enrolled nurses. With the exception of one resident, resident and families interviewed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families, management, staff and a general practitioner.  </w:t>
      </w:r>
    </w:p>
    <w:p w:rsidRPr="00A4268A">
      <w:pPr>
        <w:spacing w:before="240" w:line="276" w:lineRule="auto"/>
        <w:rPr>
          <w:rFonts w:eastAsia="Calibri"/>
        </w:rPr>
      </w:pPr>
      <w:r w:rsidRPr="00A4268A">
        <w:rPr>
          <w:rFonts w:eastAsia="Calibri"/>
        </w:rPr>
        <w:t xml:space="preserve">This audit has resulted in six areas identified for improvement, related to cultural values and beliefs, quality data evaluation, recording of residents’ information, care planning including activities, and hot water temperatures.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rights are respected. Services support personal privacy, independence, individuality and dignity. Staff interact with residents in a respectful manner. There was no evidence of abuse, neglect or discrimination.</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each resident’s needs.</w:t>
      </w:r>
    </w:p>
    <w:p w:rsidRPr="00A4268A">
      <w:pPr>
        <w:spacing w:before="240" w:line="276" w:lineRule="auto"/>
        <w:rPr>
          <w:rFonts w:eastAsia="Calibri"/>
        </w:rPr>
      </w:pPr>
      <w:r w:rsidRPr="00A4268A">
        <w:rPr>
          <w:rFonts w:eastAsia="Calibri"/>
        </w:rPr>
        <w:t>A complaints register is maintained with complaints resolved effectively. There has been one coroner’s investigation which the service is waiting for documented close off.</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There is no private information on public display.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The nursing assessments are conducted using the electronic interRAI tool and the organisation’s own paper based tools. Care plans are individualised, based on a range of information and accommodate any new problems that might arise. </w:t>
      </w:r>
    </w:p>
    <w:p w:rsidRPr="00A4268A" w:rsidP="00621629">
      <w:pPr>
        <w:spacing w:before="240" w:line="276" w:lineRule="auto"/>
        <w:rPr>
          <w:rFonts w:eastAsia="Calibri"/>
        </w:rPr>
      </w:pPr>
      <w:r w:rsidRPr="00A4268A">
        <w:rPr>
          <w:rFonts w:eastAsia="Calibri"/>
        </w:rPr>
        <w:t xml:space="preserve">Files sampled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equipment has been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There were no enablers or restraints in use at the time of audit.  A comprehensive assessment, approval and monitoring process is described in policy and staff demonstrated a sound knowledge and understanding of processes should restraint or enablers be required. Policy identifies that the use of enablers is voluntary for the safety of residents in response to individual requests.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21"/>
        <w:gridCol w:w="1280"/>
        <w:gridCol w:w="84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Education on the Code is included as part of the orientation process for all staff employed and in ongoing training, as was verified in training records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sampled show that informed consent has been gained appropriately using the organisation’s standard consent form. Advance care planning, establishing and documenting enduring power of attorney requirements, and processes for residents unable to consent are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manager provided examples of the involvement of Advocacy Services in relation to an internal complaint and resident education/information sessions.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seven complaints have been received over the past year and that actions taken, through to an agreed resolution, are documented and completed within the required timeframes.  Action plans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being made aware of the Code and the Nationwide Health and Disability Advocacy Service (Advocacy Service) through the admission process. The residents and families interviewed reported that the information was explained to them. The Code is displayed, together with information on advocacy services, how to make a complaint and feedback forms. The advocacy service provides group and one to one education on the Code to residents at least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Staff were observed to maintain privacy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accessing community services and events, participation in clubs of their choosing and activities at other aged care services. The care plans sampled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sampled confirmed that each resident’s individual cultural, religious and social needs, values and beliefs had been identified, although these are not always clearly documented into their care plans or activities plan (refer to 1.1.4.3).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known barriers for potential residents who identify as Maori to access the service. The service currently has at least one resident who identifies as Maori. The principles of the Treaty of Waitangi are incorporated into day to day practice, as was the importance of whānau. Individual cultural values and beliefs of residents who identify as Maori were not always clearly recorded in the care plan (refer to 1.1.4.3). A resident interviewed who identifies as Maori, reported overall satisfaction with the supports and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(also refer to 1.1.4.3).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stated that residents were free from any type of discrimination, harassment or exploitation and felt safe. The induction/orientation process for staff included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The GP reports they were ‘highly satisfied’ with the quality of care at Fergusson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management support for external education and access their own professional networks to support contemporary good practice. The resident and family satisfaction survey records satisfaction with the care and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stated they were kept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due to all residents being able to speak English. Appropriate communication strategies are implemented for residents with non-verbal communication.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 term objectives and the associated operational plans. A sample of monthly reports to the project support advisor and quarterly reports to the board of directors, which includes the owners, showed adequate information to monitor performance is reported, including financial performance, emerging risks, Careerforce information, quality information, policy and procedure reviews, and any issues that occur, such as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nurse manager (registered nurse) who holds relevant qualifications and has been in the role for over 10 years. Responsibilities and accountabilities are defined in a job description and individual employment agreement.  The nurse manager confirmed knowledge of the sector, regulatory and reporting requirements and maintains currency through regular ongoing education covering both clinical and management aspects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District Health Board for Age Related Residential Care which includes respite for rest home care only. All 35 residents were receiving services under this contract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nurse manager is absent, a staff member who is fully conversant with the role owing to succession planning, carries out all the required duties under delegated authority. They receive assistance from senior members of the Cantabria Group as required. During absences of key clinical staff, the clinical management is overseen by the nurse manager who holds a current practising certificate as a registered nurse.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clinical incidents including infections, falls and pressure injuries.  Benchmarking is undertaken among the three facilities owned and operated by the Cantabria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staff and quality meetings, senior management and board level, as appropriate. Staff reported their involvement in quality and risk management activities through internal audit activities.  Corrective actions are developed and implemented to address shortfalls. Evaluation of the outcome of actions taken is not consistently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showed the majority of residents were very happy with services delivered. Two residents who had concerns had them followed up via corrective action planning. For example, one resident was not happy with meal times so an individualised plan for meal times was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nurse manager, senior management and to the board of trustees.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essential notification reporting requirements, including for pressure injuries.  They advised there has been one notification of a significant events made to the Ministry of Health, under section 31 since the previous audit. This sudden death (21 January 2016) resulted in a coroner’s inquest. The letter of closure has yet to be received from the coroner’s office. All actions taken were very clearly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were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This process is managed by the training officer based at the Cantabria Group office. A monthly training calendar was advertised at Fergusson Home. A project to improve staff attendance at in-service education has been undertaken and was working well resulting in higher staff attendance at all in-service offered. Attendance numbers improved from between 35% to more than double. </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to meet the requirements of the provider’s agreement with the DHB. A staff member from the Cantabria Group is the internal assessor for the programme.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a four-week roster cycle confirmed adequate staff cover had been provided, with staff replaced in any unplanned absence.  At least one staff member on duty has a current first aid certificate, 24/7.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and personal information was fully completed in the residents’ files sampled. There were some inconsistencies in the health information recorded and where information is located in the resident’s files and dating of some documents. The progress notes were entered daily, were legible with the name and designation of the person making the entry identifiable. There is a signature register on each page of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were securely stored onsite and readily retrievable using a cataloguing system. Residents’ files are held for the required period before being destroyed. No personal or private resident information was on public display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 required rest home level of care assessment is confirmed by the local Needs Assessment and Service Coordination (NASC) service. The NASC and Eldernet service is provided with current information about the services and any vacancies. Prospective residents and/or their families are encouraged to visit the facility prior to admission and are provided with written information about the service and the admission process. The organisation seeks updated information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sampled contained completed NASC assessments and signed admission agreements in accordance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families. At the time of transition between services, appropriate information is provided for the ongoing management of the resident. All referrals are documented in the resident’s file. An example reviewed of a patient recently transferred to the local acute care facility showed the yellow envelope system and transfer processes were utilised.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manager (RN) and an enrolled nurse checks medications against the prescription.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reviewed of temperatures for the medicine fridge and the medication room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as required (PRN) medicines met. The required three monthly GP review is consistently recorded on the medicine chart. Standing orders are used, are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and policies were in place if a resident is assessed as appropriate to self-administer their medicines.  </w:t>
            </w:r>
          </w:p>
          <w:p w:rsidR="00EB7645" w:rsidRPr="00BE00C7" w:rsidP="00BE00C7">
            <w:pPr>
              <w:pStyle w:val="OutcomeDescription"/>
              <w:spacing w:before="120" w:after="120"/>
              <w:rPr>
                <w:rFonts w:cs="Arial"/>
                <w:b w:val="0"/>
                <w:lang w:eastAsia="en-NZ"/>
              </w:rPr>
            </w:pPr>
            <w:r w:rsidRPr="00BE00C7">
              <w:rPr>
                <w:rFonts w:cs="Arial"/>
                <w:b w:val="0"/>
                <w:lang w:eastAsia="en-NZ"/>
              </w:rPr>
              <w:t>There was an implemented process for review of any medication errors through the adverse event reporting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chef/cook and kitchen team, and is in line with recognised nutritional guidelines for older people. The Cantabria Group kitchen manager provides guidance for the menu and kitchen service at Fergusson Home. The menu is an organisational wide one, which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kitchen staff have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If entry is declined, this information is recorded on the enquiry form. Examples of this occurring were discussed, when a resident required hospital level of care.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and nutritional screening), to identify any deficits and to inform care planning. The sample of care plans reviewed had an integrated range of resident-related information. All residents have current interRAI assessments completed by one of the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In one of the six files sampled, the interRAI was not released till six weeks after the resident’s permanent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There were inconsistencies in where information was recorded in the resident’s files.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reflective of their needs. It was noted that although the interventions were reflective of the resident’s needs, the document were followed, and care was of a high standard. Care staff confirmed that care was flexible based on the resident’s needs and requests. A range of equipment and resources was available, suited to the rest home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reviewed six monthly, though some did not have a detailed evaluation.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The evaluation on the care plans described how the resident was progressing. (Refer to 1.3.7.1 for evaluation of the activities plans). </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plan of care or use of short term care plans. Examples of short term care plans being consistently reviewed and progress evaluated as clinically indicated were noted for infections and wounds. When necessary, and for unresolved problems, long term care plans are added to and updated.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several ‘house doctors’, residents may choose to use another medical practitioner. If the need for other non-urgent services are indicated or requested, the GP or RN sends a referral to seek specialist input. Copies of referrals were sighted in residents’ files, including to respiratory specialists, dentist, podiatry and diabetic specialists.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 occurred.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12 October 2017)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bio-medical equipment was current as confirmed in documentation reviewed, interviews with maintenance personnel and observation of the environment.  Efforts were made to ensure the environment was hazard free, that residents were safe and independence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were safely maintained and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knew the processes they should follow if any repairs or maintenance is required, that any requests are appropriately actioned and that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visitor and staff toilets. All bedrooms have full ensuites. The bedroom ensuites are being systematically upgraded and 15 had been completed at the time of audit. Appropriately secured and approved handrails are provided in the toilet/shower areas, and other equipment/accessories are available to promote resident independence.  If hot water temperatures exceed the required safe level for residential care this has not been fully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are single accommodation at the time of audit.  There are four bedrooms which can be used as double bedrooms and should this occur approval is sought from the resident and family/whanau members. The nurse manager stated the shared rooms would only be used for couples who choose to share a room.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dining and lounge areas are spacious and enable easy access for residents and staff.  Residents can access areas for privacy, if required.  There are three lounge areas, one large lounge and two smaller lounges, one of which is a dedicated library area. Furniture is appropriate to the setting and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by a dedicated laundry team. Laundry staff demonstrated a sound knowledge of the laundry processes, dirty/clean flow and handling of soiled linen. Residents interviewed reported the laundry is managed well and their clothes are returned in a timely manner. A recent project related to the use of individual laundry bags has been completed and residents and staff interviewed were very happy with the new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and chemical use by the chemical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1 April 2002.  A trial evacuation takes place six-monthly with a copy sent to the New Zealand Fire Service, the most recent being on 5 April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capacity of 44 residents. Water storage tanks are located around the complex,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company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Heating is provided by gas heated hot water radiators in residents’ rooms and electric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programme to minimise the risk of infection to residents, staff and visitors. The programme is guided by a current infection control manual, with input from an external consultant and the Cantabria Group management team and organisational wide infection control coordinator.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coordinator, whose role and responsibilities are defined in a job description. Infection control matters, including surveillance results, are reported monthly to the Fergusson Home’s manager and the Cantabria Group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not to enter.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and organisational wide infection control group ensures that appropriate information resources are available to staff, that staff are educated in infection control principles and that the infection control programme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Fergusson Home’s infection control coordinator has appropriate skills, knowledge and qualifications for the role, and has been in this role for two months. They have completed a post graduate qualification in infection prevention and control. Additional support and information is accessed from the Cantabria Group infection control coordinator, infection control team at the DHB, the community laboratory, the GP and public health unit, as required. The facility coordinator has access to residents’ records and diagnostic results to provide the GP with the information when it comes in.</w:t>
            </w:r>
          </w:p>
          <w:p w:rsidR="00EB7645" w:rsidRPr="00BE00C7" w:rsidP="00BE00C7">
            <w:pPr>
              <w:pStyle w:val="OutcomeDescription"/>
              <w:spacing w:before="120" w:after="120"/>
              <w:rPr>
                <w:rFonts w:cs="Arial"/>
                <w:b w:val="0"/>
                <w:lang w:eastAsia="en-NZ"/>
              </w:rPr>
            </w:pPr>
            <w:r w:rsidRPr="00BE00C7">
              <w:rPr>
                <w:rFonts w:cs="Arial"/>
                <w:b w:val="0"/>
                <w:lang w:eastAsia="en-NZ"/>
              </w:rPr>
              <w:t>The facility infection control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clearly documented to guide staff with relevant legislation and current good practice on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good hand-washing technique, use of disposable aprons and gloves. Hand washing facilities are available in each resident’s room and staff office space. Staff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in ongoing education sessions. Education is provided by the Cantabria Group infection control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one-to-one basis and has included reminders about handwashing, cough etiquette, advice about remaining in their room if they are unwell and increasing fluids during hot weather.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Cantabria Group policies described the types of infections and standardised definitions of the infections that require surveillance. The types of infections included in the monitoring are appropriate to the rest home setting.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is the responsibility of the Fergusson Home’s infection control coordinator to gather and record infection data. The Fergusson Home’s infection control coordinator provides a summary chart of all infections and antibiotic prescribing to the Cantabria Group infection control coordinator. All results are collected and benchmarked with the other Cantabria Group facilities by the organisational infection control coordinator. This is analysed monthly, with a further three monthly review at the health and safety committee meetings (or sooner if significant), and recommendations are made to the manager/staff at Fergusson Home. The staff meeting minutes sampled evidence analysis, actions taken and outcomes of the infection surveillance.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resident infections are recorded in the resident’s file and medical personnel are contacted so an appropriate treatment regime can be instigated. Further information relating to the resident’s infection is recorded on an ongoing basis in the resident’s notes and short term care plans so the infection can be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records when there has been an increase in infections and actions are implemented to reduce reoccurrence. There could be further strengthening of the evaluation of the infection control data, as some months have a detailed evaluation, while other have a breakdown of the numbers of infections, with no meaningful evaluation (refer to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Policy was reviewed in April 2016. The restraint coordinator (nurse manager) would provide support and oversight for enabler and restraint management in the facility should it be required. They demonstrated a sound understanding of the organisation’s policies, procedures and practice and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facility was restraint and enabler free. Restraint has not been used since the previous audit. Enablers, as described in policy, are the least restrictive and used voluntarily at their request.  This was confirmed by staff, in meeting minutes and the annual quality review sighted. All required documents were available and discussed at annual staff education should they be required.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4"/>
        <w:gridCol w:w="1280"/>
        <w:gridCol w:w="7013"/>
        <w:gridCol w:w="1726"/>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plans to ensure Māori receive services commensurate with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Guidance on Tikanga best practice is available in policy and is supported by staff who identify as Māori. There is a current Māori health plan developed with input from cultural advisers. The file reviewed of a resident who identified as Maori, did not have clear guidance in their care plan on how to specifically incorporate their values and beliefs into their service delivery. There was a generalised statement to ensure they receive culturally appropriate services, with no specific details recorded. The care plan records the resident’s iwi affiliations. Care staff interviewed were aware of the individual resident’s cultural needs or that the resident identified as being Maori. The resident reported that they have had difficulty maintaining their links with the marae and church due to transportation difficulty. The resident did report that they felt safe at Fergusson Home and overall were satisfied with care and support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documentation in the care plan sampled of a resident who identified as Maori did not have details of how their individual values and beliefs are to be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care plan records how the needs of Maori residents are met.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for infection control, incidents and accidents, complaints, health and safety, falls and internal audit results. It is analysed and results are shared with service providers and residents where appropriate. Whilst evaluation of the data was evident, documentation was not consistently completed.  For example, testing of hot water temperatures showed two bedrooms to have water which did not meet the required temperature. It was rechecked and still remained high. No other documentation was evident. </w:t>
            </w:r>
          </w:p>
          <w:p w:rsidR="00EB7645" w:rsidRPr="00BE00C7" w:rsidP="00BE00C7">
            <w:pPr>
              <w:pStyle w:val="OutcomeDescription"/>
              <w:spacing w:before="120" w:after="120"/>
              <w:rPr>
                <w:rFonts w:cs="Arial"/>
                <w:b w:val="0"/>
                <w:lang w:eastAsia="en-NZ"/>
              </w:rPr>
            </w:pPr>
            <w:r w:rsidRPr="00BE00C7">
              <w:rPr>
                <w:rFonts w:cs="Arial"/>
                <w:b w:val="0"/>
                <w:lang w:eastAsia="en-NZ"/>
              </w:rPr>
              <w:t>Projects are put in place as required. For example, in an aim to increase staff in-service education attendance, the service worked with the training officer to find ways to increase attendance. The evaluation does not clearly identify the increase in numbers of attendance. When reviewed at the time of audit, it was evident that the increase gained was very high, in some cases over 100% increase of staff attendance. The evaluation merely stated ‘review of staff in-service records’.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of data evaluation is not consistently undertaken to a level which describes the outcome of the actions 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quality improvement data evaluation is documented to show how it is used to improve services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notes were current and integrated with GP and allied health service provider notes. This included interRAI assessment information. The service was not able to gain access to an interRAI assessment of a resident admitted for permanent placement on 1 January 2017 until 9 February 2017, which then delayed the assessment and long term care plan development. Three of the residents’ files sampled had inconsistencies in where information was recorded, these residents required wound care, with some information recorded on the wound treatment plan and other information recorded in the progress notes. One of the resident’s files sampled had a quick reference care plan which was not dated. Staff were accessing obsolete documents, for example, the resident incident and accident data reporting form and the hot water monitoring form. These forms were replaced at the time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documents are not consistently used to record data/information. In three of the six files sampled, Information is recorded in inconsistent places.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current documents are used and information is recorded consistently.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there was accurate information in the resident’s files sampled, it was difficult to establish what was the most recent information due to inconsistencies in where information was recorded. Three of the residents’ files sampled had inconsistencies in wound care documentation, with some information recorded on the wound treatment plan and other information recorded in the progress notes. One of the resident’s file sampled had a quick reference care plan updated after an admission to hospital, while the long-term care plan contained conflicting information and the short-term care plan for the changes was not able to be located (the manager reports that a short-term care was completed that reflected the changes).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inconsistently recorded in the care plans, treatment plans, quick reference care plans and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documented information is consistent.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included normal community activities. Individual, group activities and regular events are offered. Residents and families/whānau are involved in evaluating and improving the programme through residents’ meetings and satisfaction surveys. Residents interviewed (including a younger resident) confirmed they find the programme of interest to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six activity plans in the residents’ files sampled had aspects of their activities plan with some details of the resident progress towards meeting their goals. The evaluations in four of the six individual activities plans record the evaluation with a statement such as “evaluated, no change’, the date and the staff members name and signature.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six activities plan sampled did not evidence an evaluation of the resident’s progress towards meeting their individual activities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contractual requirements are met regarding the evaluation of activities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toilets with all bedrooms having full ensuites. There is a dedicated staff bathroom and visitor toilet. Hot water temperatures are undertaken monthly and the form used to record these identifies that hot water temperature for resident use is to remain below 45oCelcius. Recordings identified that hot water is not always delivered within the required temperature. When checked on the day of audit the hot water recording exceeded 50o Celsius.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bedrooms had recorded hot water temperatures of 50o Celsius or above twice and no corrective action had been 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corrective measures are taken when hot temperatures are above the acceptable limit.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Fergusson Home Limited - Fergusson Home and Retirement Village</w:t>
    </w:r>
    <w:bookmarkEnd w:id="58"/>
    <w:r>
      <w:rPr>
        <w:rFonts w:cs="Arial"/>
        <w:sz w:val="16"/>
        <w:szCs w:val="20"/>
      </w:rPr>
      <w:tab/>
      <w:t xml:space="preserve">Date of Audit: </w:t>
    </w:r>
    <w:bookmarkStart w:id="59" w:name="AuditStartDate1"/>
    <w:r>
      <w:rPr>
        <w:rFonts w:cs="Arial"/>
        <w:sz w:val="16"/>
        <w:szCs w:val="20"/>
      </w:rPr>
      <w:t>20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