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Shalom Court Auckland Incorporated - Shalom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Shalom Court Auckland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Shalom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March 2017</w:t>
      </w:r>
      <w:bookmarkEnd w:id="7"/>
      <w:r w:rsidRPr="009418D4">
        <w:rPr>
          <w:rFonts w:cs="Arial"/>
        </w:rPr>
        <w:tab/>
        <w:t xml:space="preserve">End date: </w:t>
      </w:r>
      <w:bookmarkStart w:id="8" w:name="AuditEndDate"/>
      <w:r w:rsidR="00A4268A">
        <w:rPr>
          <w:rFonts w:cs="Arial"/>
        </w:rPr>
        <w:t>29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Shalom Court Rest Home and Hospital is a not-for-profit organisation that is governed by a board of management, and managed by an executive office with 15 years of experience within Shalom Court. The service provides rest home and hospital level of care for up to 36 residents.  On the day of the audit there were 36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 and interviews with residents, management, staff, board members, rabbi, resident advocate, physiotherapist and the general practitioner. </w:t>
      </w:r>
    </w:p>
    <w:p w:rsidRPr="00A4268A">
      <w:pPr>
        <w:spacing w:before="240" w:line="276" w:lineRule="auto"/>
        <w:rPr>
          <w:rFonts w:eastAsia="Calibri"/>
        </w:rPr>
      </w:pPr>
      <w:r w:rsidRPr="00A4268A">
        <w:rPr>
          <w:rFonts w:eastAsia="Calibri"/>
        </w:rPr>
        <w:t>A resident services manager is responsible for the daily clinical operations of the service.  She is supported by a clinical lead and stable workforce.  The residents and community visitors spoke highly of the service, including the provision of a supportive cultural and spiritual environment based on Jewish values and beliefs.</w:t>
      </w:r>
    </w:p>
    <w:p w:rsidRPr="00A4268A">
      <w:pPr>
        <w:spacing w:before="240" w:line="276" w:lineRule="auto"/>
        <w:rPr>
          <w:rFonts w:eastAsia="Calibri"/>
        </w:rPr>
      </w:pPr>
      <w:r w:rsidRPr="00A4268A">
        <w:rPr>
          <w:rFonts w:eastAsia="Calibri"/>
        </w:rPr>
        <w:t>There is one area for improvement around enabler consents.</w:t>
      </w:r>
    </w:p>
    <w:p w:rsidRPr="00A4268A">
      <w:pPr>
        <w:spacing w:before="240" w:line="276" w:lineRule="auto"/>
        <w:rPr>
          <w:rFonts w:eastAsia="Calibri"/>
        </w:rPr>
      </w:pPr>
      <w:r w:rsidRPr="00A4268A">
        <w:rPr>
          <w:rFonts w:eastAsia="Calibri"/>
        </w:rPr>
        <w:t xml:space="preserve">The service has been awarded continuous improvement ratings for recognition of individual values and beliefs, and governance.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resident rights.  Care planning accommodates individual choices of residents and/or their families.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Shalom Court Rest Home and Hospital has an implemented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The three-monthly quality/health and safety/infection control committee meeting includes discussion around quality data.  Human resources policies are in place, including a documented rationale for determining staffing levels and skill mixes.  There is a roster that provides sufficient and appropriate coverage for the effective delivery of care and there are sufficient staff on duty at all times.  There is an implemented orientation programme that provides new staff with relevant information for safe work practice.  The education programme includes mandatory training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service delivery.  Information gained through the initial support plans, specific assessments, discharge summaries and the care plans, guide staff in the safe delivery of care to residents.  The care plans are resident centred and reviewed every six months or earlier if required, with input from the resident/family as appropriate.  Allied health and a team approach are evident in the resident files reviewed.  The general practitioner reviews residents three-monthly in the rest home and one monthly in the hospital.  </w:t>
      </w:r>
    </w:p>
    <w:p w:rsidRPr="00A4268A" w:rsidP="00621629">
      <w:pPr>
        <w:spacing w:before="240" w:line="276" w:lineRule="auto"/>
        <w:rPr>
          <w:rFonts w:eastAsia="Calibri"/>
        </w:rPr>
      </w:pPr>
      <w:r w:rsidRPr="00A4268A">
        <w:rPr>
          <w:rFonts w:eastAsia="Calibri"/>
        </w:rPr>
        <w:t xml:space="preserve">The activities team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and healthcare assistants who administer medications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 xml:space="preserve">The food service is contracted.  There is a separate kosher kitchen where foods are prepared for the monthly kosher lunches.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two buildings hold a current warrant of fitness.  All residents’ rooms have ensuites.  External areas are safe and well maintained with shade and seating available.  Fixtures, fittings and flooring are appropriate and toilet/shower facilities are constructed for ease of cleaning.  Cleaning services are monitored through the internal auditing system.  All but personal laundry is contracted out.  Documented systems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in place that include the definition of enablers and instructions to follow in the event that restraint is required.  There were no residents using restraints and two residents using an enabler.  A registered nurse is the restraint coordinator.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is appropriate for the size, complexity and degree of risk associated with the service.  The infection control coordinator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73"/>
        <w:gridCol w:w="1280"/>
        <w:gridCol w:w="89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residents (four rest home and three hospital level of care) interviewed confirmed that information has been provided around the Code of Rights.  Residents stated their rights are respected when receiving services and care.  There is a resident rights policy in place.  Staff attend Code of Rights training.  Discussion with three healthcare assistants (HCA) and three registered nurses (RN) identifies that they are aware of the Code of Rights and can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forms are completed on all six resident files reviewed.  General consent forms are evident on files reviewed.  Discussions with staff confirms that they are familiar with the requirements to obtain informed consent for entering rooms and personal care.  Enduring power of attorney evidence is filed with the admission agreements.  All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during the admission process.  Pamphlets on advocacy services are available in the entrance to the facility.  Interviews with the residents confirmed their understanding of the availability of advocacy services.  The resident advocate (interviewed) visits regularly and has multiple roles in Jewish and other voluntary organisations.  Staff receive education and training on the role of advocacy services.  Staff are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friends and community are encouraged to visit the home and are not restricted to visiting times.  All residents interviewed confirm that family and friends are able to visit at any time.  Many friends and community visitors were observed attending the home on the days of audit.  Residents confirm that they have been supported and encouraged to remain involved in the community.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is maintained by the resident services manager using a complaints’ register.  There were sixteen complaints in 2016 including one received by the DHB and one involving the Health and Disability Commissioner.  Both complaints were closed with no further action.  All complaints have been managed in line with Right 10 of the Code.  A review of complaints documentation evidences resolution of the complaint to the satisfaction of the complainant and advocacy offered.  Residents advised that they are aware of the complaints procedure.  Discussion around concerns, complaints and compliments are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in the main entrance to the facility.  The Code is displayed and advocacy information is available.  There is a welcome information folder that includes information about the Code.  The resident, family or legal representative have the opportunity to discuss this prior to entry and/or at admission with the executive officer or resident services manager.  Residents confirm that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are able to describe how they maintain resident privacy.  Staff sign a code of conduct declaration and information technology policy on employment.  Staff attend privacy and dignity and abuse and neglect in-service training as part of their education plan.  Care staff state that they promote independence with daily activities where appropriate.  Resident’s cultural, social, religious and spiritual beliefs are identified on admission and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Maori health plan and cultural safety and awareness policy to guide staff in the delivery of culturally safe care.  The Maori health plan identifies the importance of whanau.  Currently there are no residents who identify as Maori.  The executive officer, resident services manager, RNs and HCAs are able to describe how to access information and provide culturally safe care for Maori.  The provider has links with the local Kaumatua who has been previously involved in the blessing/opening of the hospital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 and respond to values, beliefs and cultural differences.  Residents are supported to maintain their spiritual needs with regular religious services and are supported to attend other community groups as desired.  The service is successful in providing culturally safe care for the elderly Jewish residents, based on Jewish religious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were observed to be professional within the culture of a family environment.  Staff are trained to provide a supportive relationship based on a sense of trust, faith, security and self-esteem.  Interviews with RNs and HCAs could describe how they build a supportive relationship with each resident.  Residents state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committed to providing a faith based service of a high standard, based on the Shalom Court mission and philosophy.  This was observed during the audit with the staff demonstrating a caring attitude to the residents.  All residents and visiting community members spoke positively about the care provided.  The service has implemented policies and procedures that provide a good level of assurance that it is adhering to relevant standards.  Registered nurses and HCAs have access to internal and external education opportunities.  Staff have a sound understanding of principles of aged care and state that they feel supported by management.  The service contracts a physiotherapist ten hours a week over two days.  The physiotherapist (interviewed) completes an initial mobility assessment on all residents and reviews residents of concern and post falls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promotes an open-door policy.  Relatives are aware of the open-door policy and confirm that the staff and management are approachable and available.  Residents/relatives have the opportunity to feedback on service delivery through monthly resident meetings which are taken by the resident advocate.  Annual surveys also provide residents/relatives with an opportunity to provide feedback.  Eleven accident/incident forms reviewed (two rest home and nine hospital level) document that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payable services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Court Rest Home and Hospital is a faith based not-for-profit organisation and governed by a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and hospital level of care for up to 36 residents.  There are ten rest home cottages in a separate building on the site closely located to the main facility.  The main facility has a hospital wing of 12 beds and another wing of 14 dual purpose beds.  On the day of audit, there were 19 rest home residents and 17 hospital level of care residents.  There were five hospital and nine rest home level of care residents in the dual-purpose beds.  All residents are under the age-related residential care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officer (EO) has been involved in Shalom Court for 15 years in various management and board roles.  The EO is part-time for 18 hours per week and leads the executive team who report to the board.  The resident services manager/registered nurse has been in aged care for seven years of which one year and eight months has been at Shalom Court.  She is supported by an executive assistant (non-clinical) and clinical lead/registered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 business plan 2013–2018 that is reviewed regularly.  This non-profit organisation has been successful in achieving its vision, mission and philosophy around providing care based on Jewish values and beliefs (link CI 1.1.6.2), widening Slalom’s profile within the community and achieving sustainability.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EO has a business degree and maintains professional development related to a governance role including attending provider meetings and a two-day aged care conference.  The resident services manager has attended at least eight hours of professional development including attending aged care conference and leadership seminars, interRAI managers training and palliative care modules.  The EO and resident services manager attend the DHB cluster meetings for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resident services manager, the clinical lead provides clinical and management oversight of the facility including the on call requirement.  Both the resident services manager and clinical lead have a current practising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risk management plan in place that is reviewed annually.  The service has in place a range of policies and procedures to support service delivery, both have been reviewed regularly by the service.  Combined quality/health and safety/infection control meetings are held quarterly and include discussion around quality data including: complaints, compliments, health and safety, accident/incident, infection control, internal audit and survey results.  Trends are identified and analysed for areas of improvement.  Staff interviewed confirm they are kept informed on all areas of service including quality data.  Meeting minutes and quality data is displayed for staff.  There are clinical and staff meetings that are held on a regular basis.  A full quality/risk management report is forwarded to the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cover all areas of service and are completed as scheduled.  Corrective actions are raised for any areas of non-compliance.  An annual resident/relative survey has been completed.  Letters sent out by the EO (sighted) thanked participants for their responses and informed them on the outcomes of the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board members and EO have completed an update to the new health and safety plan following the new legislation.  The Health and Safety (H&amp;S) Committee comprises of representatives (four interviewed) across the services.  One health and safety representative is registered to attend transition training.  The Health and Safety Committee review monthly accident/incident reports, hazard reports and register.  Staff have the opportunity to discuss any concerns with the representatives prior to H&amp;S meetings.  Incident forms identify an event owner who completes, monitors and evaluates the incident.  Contractors receive a letter prior to being on-site and complete a work safety permit.  Staff have received education on the H&amp;S changes.  The staff H&amp;S noticeboard displays information on H&amp;S.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and the identification of interventions on a case by 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as part of risk management and health and safety framework.  Eleven incident forms (two rest home and nine hospital) were reviewed from January 2017.  All incident forms identify timely RN assessment of the resident and corrective actions to minimise resident risk.  Neurological observations have been completed for unwitnessed falls and any known head injury.  The next of kin have been notified for all incidents/accidents.  The caregivers interviewed could discuss the incident reporting process.  The resident services manager collects incident/accident forms, completes investigations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EO and resident services manager described situations that would require reporting to relevant authorities.  One security breach has been reported to the relevant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Eight staff files were reviewed (resident services manager, clinical lead/RN, two RNs, three HCAs and one maintenance person).  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are supported to attend external education.  All six RNs have completed interRAI training.  Staff complete competencies relevant to their roles.  The education plan covers the required mandatory training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resident services manager and clinical lead are on duty during the day Monday to Friday and share the on-call.  There is a RN on duty 24 hours.  There is a second RN on duty six hours per day Monday to Friday, to oversee the rest home residents and the cottages.  There is one HCA allocated to the rest home cottages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services manager has tendered her resignation and the clinical lead will cover for three weeks until the new appointment commences on 24 April 2017.  The new appointment has experience in aged care as a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are adequate staff on duty at all times.  Staff state they feel supported by the executive team and management team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Linen is laundered off-site.  Food services staff are contracted.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Residents’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information pack available for residents/families at entry.  The admission agreement meets the requirements of the ARCC.  Exclusions from the service are included in the admission agreement.  Six admission agreements are all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in place describe guidelines for death, discharge, transfer, documentation and follow ups.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two residents self-administering medications on the day of audit.  Both residents have been deemed competent and the medications are stored in locked drawers.  An RN or medication competent healthcare assistant checks that medications have been taken as prescribed.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robotic pack system.  Medications are checked on arrival and any pharmacy errors are recorded and fed back to the supplying pharmacy.  Registered nurses or healthcare assistants who have passed their medication competency, administer medications.  Medication competencies are updated annually and staff attend annual education.  The facility uses standing orders.  These meet legal requirements.  The medication fridge temperature is checked nightly.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signing sheets.  Twelve medication charts were reviewed (six rest home and six hospital).  Medications are reviewed by the GP at least three-monthly.  All medication charts have photo identification and allergy status recorded.  ‘As required’ medications have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 contracted service provider provides all meals from the on-site kitchen.  There is one head chef, two cooks and two kitchen hands who cover the provision of meals across the seven-day week.  All food services staff have current food safety certificates.  The head chef oversees the procurement of the food and management of the kitchen.  There is a well equipped kitchen and all meals except for kosher food are cooked in the on-site kitchen.  Meals are served from bain maries in the kitchenettes of each wing.  In the Shalom Court cottages’ kitchen, there is a separate area kept for the preparation of kosher food.  Special equipment such as lipped plates are available.  There is a kitchen manual and a range of policies and procedures to safely manage the kitchen and meal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before food is served.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known.  The four-weekly menu plans have been audited and approved by an external dietitian.  Audits are implemented to monitor performance.  A recent food satisfaction survey identified areas for improvement and the executive team have been actively engaging with the food service team and residents to improve services.  Five of the executive team members join residents for a main meal weekly.  On the day of audit, meals were observed to be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service would decline entry to services if it was unable to provide the assessed level of care or there were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up-to-date interRAI assessments completed in all six files sampled and these have been completed within the required timeframe.  There is a clear link between the interRAI assessments and the care plans.  InterRAI assessments have been completed when there has been a significant change in a resident’s health status.  Additional assessments for management of wound care and cultural/religious needs are appropriately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multi-disciplinary involvement in the care of the resident.  All care plans are resident centred and document support needs to achieve the resident goals.  Seven residents interviewed stated that they are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changes in health status and are evaluated on a regular basis and signed off as resolved or transferred to the long-term care plan as needed.  There is evidence of service integration with documented input from a range of specialist care professionals including the podiatrist, dietitian, geriatrician and mental health care team for older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care plans reviewed include documentation that meets the need of the residents.  Care plans have been updated as residents’ needs change.  When a resident’s condition changes, the RN will initiate a GP consultation.  Changes in care are also documented in the progress notes and communicated at handovers.  Staff state that they notify family members about any changes in their relative’s health status.  Seven residents interviewed stated that care delivery and support by staff is consistent with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wound (a left lateral leg ulcer) and two facility acquired pressure injuries (one stage I and one stage II).  All wounds have appropriate care documented.  The registered nurses state that they have access to specialist wound care advice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organised and run by an events management subcommittee reporting to the executive team.  This committee includes a healthcare assistant who also holds a role as the activities coordinator.  On the days of audit, residents were observed being actively involved with a variety of activities including exercises, balloon games and a birthday morning tea.  The mobile dentist also visited.  Those residents who prefer to stay in their room have one-on-one visits for a chat and to check if there is anything they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print copy of the monthly and weekly programme on the noticeboard in all areas.  Residents and families also receive a personal copy.  There are van outings monthly (the van is hired) and entertainers visit at least monthly.  Special events like birthdays, Mothers’ Day, Anzac Day, Melbourne Cup and Jewish celebrations/festivals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hard of hearing have talking books and those with macular degeneration may use the Topaz screen.</w:t>
            </w:r>
          </w:p>
          <w:p w:rsidR="00EB7645" w:rsidRPr="00BE00C7" w:rsidP="00BE00C7">
            <w:pPr>
              <w:pStyle w:val="OutcomeDescription"/>
              <w:spacing w:before="120" w:after="120"/>
              <w:rPr>
                <w:rFonts w:cs="Arial"/>
                <w:b w:val="0"/>
                <w:lang w:eastAsia="en-NZ"/>
              </w:rPr>
            </w:pPr>
            <w:r w:rsidRPr="00BE00C7">
              <w:rPr>
                <w:rFonts w:cs="Arial"/>
                <w:b w:val="0"/>
                <w:lang w:eastAsia="en-NZ"/>
              </w:rPr>
              <w:t>The rabbi visits monthly and at any other time when needed.  Nuns come in weekly to give communion and the priest visits as needed.  On occasions the rabbi, priest and minister join together for an interdenominational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identify that the activity plan is based on this assessment.  Activity plans have been evaluated six-monthly. </w:t>
            </w:r>
          </w:p>
          <w:p w:rsidR="00EB7645" w:rsidRPr="00BE00C7" w:rsidP="00BE00C7">
            <w:pPr>
              <w:pStyle w:val="OutcomeDescription"/>
              <w:spacing w:before="120" w:after="120"/>
              <w:rPr>
                <w:rFonts w:cs="Arial"/>
                <w:b w:val="0"/>
                <w:lang w:eastAsia="en-NZ"/>
              </w:rPr>
            </w:pPr>
            <w:r w:rsidRPr="00BE00C7">
              <w:rPr>
                <w:rFonts w:cs="Arial"/>
                <w:b w:val="0"/>
                <w:lang w:eastAsia="en-NZ"/>
              </w:rPr>
              <w:t>Shalom Court is very community focused and outside group and families are welcome to use the facility’s communal areas.  The seven residents interviewed stated that they enjoy having the outside world come into them.</w:t>
            </w:r>
          </w:p>
          <w:p w:rsidR="00EB7645" w:rsidRPr="00BE00C7" w:rsidP="00BE00C7">
            <w:pPr>
              <w:pStyle w:val="OutcomeDescription"/>
              <w:spacing w:before="120" w:after="120"/>
              <w:rPr>
                <w:rFonts w:cs="Arial"/>
                <w:b w:val="0"/>
                <w:lang w:eastAsia="en-NZ"/>
              </w:rPr>
            </w:pPr>
            <w:r w:rsidRPr="00BE00C7">
              <w:rPr>
                <w:rFonts w:cs="Arial"/>
                <w:b w:val="0"/>
                <w:lang w:eastAsia="en-NZ"/>
              </w:rPr>
              <w:t>Resident’s feedback on the activities programme at the monthly residents’ meetings.  The event management sub-committee meets annually to review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care plans reviewed have been evaluated by the registered nurses six-monthly or when changes to care occurs.  Short-term care plans for short term needs such as a urinary tract infection have been evaluated and signed off as resolved or added to the long-term care plan as an ongoing problem.  Activities plans are in place for each resident and these are also evaluated six-monthly.  The multidisciplinary review involves the RN, GP and resident/family if they wish to attend.  There is evidence of family members being informed of any changes to the care plan on the family communication form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Examples include: one resident who had been referred to Mental Health Services for Older People and another to the dietitian.  Discussion with a registered nurse identifies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regarding chemical safety and waste disposal.  Management of waste and hazardous substances is covered during orientation and staff have attended chemical safety training.  All chemicals are clearly labelled with manufacturer’s labels and stored in locked areas in all areas.  Safety data sheets and product sheets are available.  Sharps containers are available and meet the hazardous substances regulations for containers.  The hazard register identifies hazardous substance and staff indicate a clear understanding of processes and protocols.  Gloves, aprons and goggles are available for staff.  The maintenance person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main building and rest home cottage building both hold a current warrant of fitness until 31 March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hoists and scales have been checked, tagged and calibrated.  Hot water temperatures are monitored three-monthly in resident areas and are within the acceptable range.  The communal lounges, dining rooms, hallways and resident rooms are carpeted.  Utility areas such as the kitchen, laundry, sluice rooms and ensuites have vinyl flooring.  All halls have safety rails and promote safe mobility with the use of mobility aids.  The cottages have concrete walkways and wooden rails.  Residents were observed moving freely around the areas with mobility aids where required.  The external areas and gardens are well maintained.  There are outdoor areas with seating and shade for each wing.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ensuites.  Fixtures, fittings and flooring are appropriate and toilet/shower facilities are constructed for ease of cleaning.  There is ample space in all toilet and shower areas to accommodate shower chairs and hoists if required, in the hospital and dual purpose wings.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the safe use of mobility aids.  Staff report that they have more than adequate space to provide care to residents.  Residents are encouraged to personalise their bedrooms as viewed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occur in the spacious communal lounges.  Seating and space is arranged to allow both individual and group activities to occur.  There are areas where residents who prefer quieter activities or visitors may sit.  The dining rooms are part of the communal lounges and there is adequate space for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Personal laundry is undertaken on-site by the healthcare assistants.  Healthcare assistants interviewed stated that they manage the workload well.  All other laundry is done off-site.  There are appropriate systems for managing infectious laundry which the healthcare assistants could describe.  There is a comprehensive laundry and cleaning manual.  Cleaning services are monitored through the internal auditing system.  The cleaners’ equipment was attended at all times or locked away in the cleaners’ cupboards as sighted on the days of audit.  There are two sluice rooms for the disposal of soiled water or waste.  The sluice rooms and the laundry are kept locked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including adequate food and water storage for at least three days.  There is emergency power back-up and the service is on high priority for the hire of a generator.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8 September 1999.  There are six-monthly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upgraded the call bell system throughout the facility which is also linked to the rest home cottages.  Resident’s rooms, communal bathrooms and living areas all have call bells.  Call bell pendants and wristwatches are provided.  Security policies and procedures are documented and implemented by staff.  The buildings are secure at night.  There is surveillance cameras installed and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ample natural light and ventilation.  In the hospital wing, there is underfloor heating.  In the dual-purpose wing, there is gas heating in hallways and communal areas and electrical heating in residents’ rooms.  In Shalom Court cottages, the heating is electric.  Staff state that the heating is effective.  There is a small area allocated to smokers but the rest of the facility is smokefree.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(RN) oversees infection control for the facility and is responsible for the collation of infection events.  The infection control coordinator has a defined job description.  Infection events are collated monthly and reported to the combined Infection Control/Health and Safety Committee and executive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reviewed and any areas for improvement are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There are adequate supplies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infection control coordinator has attended external education provided by an infection control consultant in April 2016.  The Infection Control Committee comprises of representatives across all service areas.  A board member is on the Infection Control Committee.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access to GPs, local laboratory, the DHB infectious disease specialists, Public Health Department and an external infection control consultant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the infection control coordinator with the use of a reference manual developed by an external consultant.  Policies and procedures were last reviewed February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and a handwashing audit is included in orientation and as part of the annual training schedule.  Current and topical information is displayed on the infection control noticeboard.  Hand hygiene competencies are completed on orientation and are ongoing.  The infection control coordinator also conducts on the spot audits, questions and word finders around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monthly through surveillance to determine infection control activities and education needs in the facility.  Data is analysed for trends and a quarterly report is provided to management and staff including graphs with monthly comparisons for all types of infections using the standardised definitions for infections.  Preventative measures are put in place for identified trends.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the use of enablers and restraint.  A registered nurse is the restraint coordinator with a defined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no residents with restraint and two residents (hospital) with enablers.  Two of two files reviewed identified enabler assessments, care plan interventions, enabler monitoring and reviewed six-monthly.  Two of two consent forms had not been signed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challenging behaviour education is included in the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84"/>
        <w:gridCol w:w="1280"/>
        <w:gridCol w:w="2585"/>
        <w:gridCol w:w="4199"/>
        <w:gridCol w:w="14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Consents are in place for two residents using enablers, however, the resident’s relative had signed each consent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residents with enablers had not voluntarily signed the consent form and the enduring power of attorney of both residents, had not been enacted to allow the relative to sign for the enabler.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sign for voluntary consent of an enabler.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9"/>
        <w:gridCol w:w="1280"/>
        <w:gridCol w:w="1779"/>
        <w:gridCol w:w="92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recognises the importance of the rabbi and resident advocate in meeting the Jewish resident’s values and beliefs.  Staff are knowledgeable in the provision of culturally safe care for Jewish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elderly Jewish residents who make up 35% of the resident occupancy.  The service is governed by a board and executive officer who actively represent the Jewish residents and community.  All staff have education on Judaism during their orientation and ongoing as part of the education plan.  All Jewish festivities are celebrated and residents of other faiths are invited to attend.  There is a monthly kosher lunch with the rabbi.  The rabbi (interviewed) stated that the board, executive officer and staff do their upmost to meet the philosophy of care for the Jewish residents.  There is a separate designated kitchen for the preparation and cooking of the kosher lunches which is undertaken by volunteers and staff.  Jewish foods are brought in especially for Passover.  Volunteers lead Kiddush blessings and prayers on Friday evenings and for Jewish festivals.  Residents, the resident advocate, volunteers and board members interviewed confirm that the residents’ cultural values and beliefs are being met.  Staff are knowledgeable around Judaism and can describe how residents’ values and beliefs are being met.  Care plans identify cultural and religious beliefs.  The resident/relative survey was positive around the service meeting resident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was funded in 1976 and is owned and operated by a charitable trust.  The provider has been successful in achieving its stated values, mission and philosophy of care based on Jewish values and beliefs.  The provider has increased its profile with the Jewish community and stakeholders which has led to sustainability of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years ago (June 2015) there was a restructure of the governing body with the development of a board and executive team.  All board members attended a seminar that outlined their roles.  Board members actively interact with residents, staff and stakeholders and take on other roles such as attending the Health &amp; Safety Committee meetings, maintaining an asset register, involvement in activities and Jewish festivities.  The rest home cottages were reduced from 16 to 10 which then  allowed  six cottages to be  available to accommodate visiting family, religious visitors and for families in need.  The provider has increased its profile within the community and extends invitations to the Jewish community (and other faiths) to attend kosher lunches, entertainment and festivities.  Board members, the EO, executive team and rabbi cater, cook and prepare kosher meals for the monthly kosher lunch and other festivities.  Shalom Court have a FOSCA (Friends of Shalom Court Auckland) membership in place.  All members are invited to join in festivities and receive quarterly newsletters.  Shalom Court and its brand (captured in its unique mission) is well known in the marketplace and among health professionals.  The occupancy for the past 12 months has been 94-100%.  The EO submitted an entry in the 2016 Aged Care conference awards called ‘Innovation – the core of outstanding care – is ignited from our hearts’.  The submission also summarised stakeholder outcomes.  The provider was awarded the ‘Small Operator Industry’ award.  The resident/relative survey and interviews with residents, volunteers, board members, EO and rabbi confirm the service has been successful in meeting its mission, values and beliefs for its Jewish residents, community and stakeholders.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Shalom Court Auckland Incorporated - Shalom Court Rest Home</w:t>
    </w:r>
    <w:bookmarkEnd w:id="58"/>
    <w:r>
      <w:rPr>
        <w:rFonts w:cs="Arial"/>
        <w:sz w:val="16"/>
        <w:szCs w:val="20"/>
      </w:rPr>
      <w:tab/>
      <w:t xml:space="preserve">Date of Audit: </w:t>
    </w:r>
    <w:bookmarkStart w:id="59" w:name="AuditStartDate1"/>
    <w:r>
      <w:rPr>
        <w:rFonts w:cs="Arial"/>
        <w:sz w:val="16"/>
        <w:szCs w:val="20"/>
      </w:rPr>
      <w:t>28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