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Samuel Limited - Anne Maree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Samuel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Anne Maree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April 2017</w:t>
      </w:r>
      <w:bookmarkEnd w:id="7"/>
      <w:r w:rsidRPr="009418D4">
        <w:rPr>
          <w:rFonts w:cs="Arial"/>
        </w:rPr>
        <w:tab/>
        <w:t xml:space="preserve">End date: </w:t>
      </w:r>
      <w:bookmarkStart w:id="8" w:name="AuditEndDate"/>
      <w:r w:rsidR="00A4268A">
        <w:rPr>
          <w:rFonts w:cs="Arial"/>
        </w:rPr>
        <w:t>6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Anne Maree gardens provide psychogeriatric, rest home and hospital level care for up to 76 residents. The service is operated by Logan Samuel Ltd and managed by a facility manager and a clinical leader. Since the previous audit there has been a reconfiguration with the addition of four psychogeriatric beds and a reduction of four rest home beds.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mental health services professional and a general practitioner.</w:t>
      </w:r>
    </w:p>
    <w:p w:rsidRPr="00A4268A">
      <w:pPr>
        <w:spacing w:before="240" w:line="276" w:lineRule="auto"/>
        <w:rPr>
          <w:rFonts w:eastAsia="Calibri"/>
        </w:rPr>
      </w:pPr>
      <w:r w:rsidRPr="00A4268A">
        <w:rPr>
          <w:rFonts w:eastAsia="Calibri"/>
        </w:rPr>
        <w:t>This audit has resulted in a continuous improvement being awarded as a result of the addition of the new psychogeriatric beds to allow some residents to remain in the facility which has been their home for a number of years.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Care is guided by a Maori health plan and related policies. 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linkages with a range of specialist health care providers, which contributes to ensuring the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and quality and risk management plan includes the goals, values and philosophy of the organisation. Monitoring of the services by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Registered nurses are on duty 24 hours each day in the facility and are supported by care and allied health staff and a designated general practitioner. On call arrangements for support are in place. Shift handovers and communication sheets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records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 planned activity programme, overseen by a diversional therapist, provides residents with a variety of individual and group activities and maintains their links with the community. One on one activities are also promoted.</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being catered for. Policies, procedures and flip charts guide food service delivery, supported by staff with food safety qualifications. The kitchen was well organised, clean and meets food safety standards. Residents and family members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Currently there are no enablers or restraints in use at the time of audit and the facility offers a restraint free environment. Policy and processes are in place for comprehensive assessment, approval and monitoring with regular reviews, should any enabler or restraint use be indicated.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There are terms of reference for the infection control committee which meets quarterly. Specialist infection prevention and control advice is able to be accessed from the DHB, laboratory microbiologist and the GP. The infection control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procedures and supported with regular education.</w:t>
      </w:r>
    </w:p>
    <w:p w:rsidRPr="00A4268A">
      <w:pPr>
        <w:spacing w:before="240" w:line="276" w:lineRule="auto"/>
        <w:rPr>
          <w:rFonts w:eastAsia="Calibri"/>
        </w:rPr>
      </w:pPr>
      <w:r w:rsidRPr="00A4268A">
        <w:rPr>
          <w:rFonts w:eastAsia="Calibri"/>
        </w:rPr>
        <w:t>Aged care specific infection surveillance is undertaken, with data analysed, trended and benchmarked.  Results are reported through to management and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00"/>
        <w:gridCol w:w="1280"/>
        <w:gridCol w:w="8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Anne Maree Gardens rest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verified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leader, registered nurse and care staff interviewed understood the principles and practice of informed consent. Informed consent policies provide relevant guidance to staff. The clinical records reviewed show that informed consent has been gained appropriately using the organisation`s standard consent form including consent for photographs, outings in the van, students providing cares, for annual influenza vaccinations, or any treatments/procedures to be performed.</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documentation, where relevant, was in the residents’ records reviewed. The clinical leader demonstrated understanding and explained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the residents/family are provided with a copy of the Code, which also includes information about the Advocacy Service. Pamphlets about the Advocacy Service are available. Family members spoken with were aware of this service and how to access this for their relative if requested. Residents are welcome to have support persons of their choice.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fully informed of how to access the Advocacy Service and examples of their involvement were discussed with the clinical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trips to the movies and other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open visiting hours and encourages visits from residents family/whanau and friends. Family members interviewed stated they felt welcome when they visited and comfortable in their dealing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over the past year and that actions taken, through to an agreed resolution, are documented and completed within the timeframes.  Action plans show any required follow up and improvements have been made where possible. The facility manager and the clinical leader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Families/residents interviewed report being made aware of the Code and the Nationwide Health and Disability Advocacy Service through the pre-admission and admission process. Information is provided in the resident information brochure and the information pack provided on admission. Staff discuss the Code with the family and the individual resident on admission. The Code is displayed in all service areas along with information on advocacy services, and how to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families and the general practitioner (GP) interviewed confirmed that services are provided in a manner that has regard for residents’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need to maintain privacy and were observed doing so throughout the audit (eg, when attending personal cares, ensuring resident information was held securely and privately, exchanging verbal information in the office and not at the bedside).  All residents have their own individual rooms and residents who share rooms have screening provided to ensure privacy is maintained. Residents are able to have their own belongings and an inventory was maintained in each individual record reviewed. There is a diverse range of residents with different ethnicities observed during the audit. Staff accommodate their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through participating in community activities, being assisted to external appointments and participation in clubs of their choosing.</w:t>
            </w:r>
          </w:p>
          <w:p w:rsidR="00EB7645" w:rsidRPr="00BE00C7" w:rsidP="00BE00C7">
            <w:pPr>
              <w:pStyle w:val="OutcomeDescription"/>
              <w:spacing w:before="120" w:after="120"/>
              <w:rPr>
                <w:rFonts w:cs="Arial"/>
                <w:b w:val="0"/>
                <w:lang w:eastAsia="en-NZ"/>
              </w:rPr>
            </w:pPr>
            <w:r w:rsidRPr="00BE00C7">
              <w:rPr>
                <w:rFonts w:cs="Arial"/>
                <w:b w:val="0"/>
                <w:lang w:eastAsia="en-NZ"/>
              </w:rPr>
              <w:t>The care plans and activities plans reviewed documented information related to the individual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during the admission process and were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individual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the four residents in the service who identify as Maori to integrate their cultural values and beliefs. The principles of the Treaty of Waitangi are incorporated into the day to day practice, as is the importance of whanau to Maori residents. There is a current Maori health plan developed with input from cultural advisers. Current access to resources includes the contact details of local cultural advisers and the district health board Maori health advisory team, if required. Guidance on tikanga best practice is available and is supported by staff who identify as Maori in the facility. The two of four Maori residents were able to be interviewed. They and their whanau reported staff acknowledged and respected their individual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 verified that they were consulted on their individual culture, values and beliefs and that staff respect these. Resident`s personal preferences, required interventions and special needs were included in all care plans reviewed. A resident satisfaction survey questionnaire sighted includes evaluation of how well residents` cultural needs are met, and this supported the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all family members interviewed stated that residents were free from any type of discrimination, harassment or exploitation and they, or their family member, felt safe. The general practitioner interviewed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orientation/induction process for staff includes education related to professional boundaries and expected behaviours. All registered nurses have records of completion of the required training on professional boundaries. Staff are provided with a Code of Conduct in both the staff orientation booklet and their individual employment contract. Ongoing education is also provided on an annual basis, which was confirmed in the staff training records reviewed.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staff education, input from external specialist services and allied health professionals, for example, psychiatric community nurses, physiotherapist, the wound care specialist nurse, dietitian, services for older persons, geriatricians and psychiatrists.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can access their own professional network to support contemporary good practice. An example of good practice observed during the audit included, the clinical leader interviewed works closely with the general practitioner by completing all medical rounds together. Each resident is reviewed and discussed in full. The clinical leader is currently completing a Masters level degree and is using workplace experiences and learning as part of the practicum.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status, were advised in a timely manner about any incidents or accidents and outcomes of regular and any urgent medical reviews. This was supported in residents` records reviewed. There is also evidence of resident/family input into the care planning process. Staff understood the principles of open disclosure, which is supported by policies and procedures that meet the requirement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DHB interpreter service is able to be accessed as required on a referral basis. Staff are able to provide interpretation as and when needed and family members are used, as appropriate, for the residents for whom English is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 which is reviewed annually, outline the values, philosophy, scope, direction and goals of the organisation. The document describes annual and longer term objectives and the associated operational plans. The person/family centred approach is reflected in planning documents. A sample of quarterly reports to the directors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and has been in the role for 12 years. Responsibilities and accountabilities are defined in a job description and individual employment agreement.  The facility manager confirms knowledge of the sector, regulatory and reporting requirements and attends regular management training and sector conferences.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and the Ministry of Health (MoH) for Younger persons with a disability (YPD), respite, long term chronic health conditions, psychogeriatric, and rest home and hospital level services. 67 residents were receiving services under the contract (27 rest home, eight psychogeriatric, 26 hospital level, four YPD residential non-aged care and two long term chronic health conditions)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director carries out all the required duties under delegated authority. During absences of key clinical staff, the clinical management is overseen by an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health and safety, regular resident satisfaction surveys, monitoring of outcomes, clinical incidents including infections and pressure injuries.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governance meetings, monthly integrated meetings and all staff meetings. Staff reported their involvement in quality and risk management activities through audit activities, weekly memos and their regular staff meetings. Relevant corrective actions are developed and implemented to address any shortfalls. Resident and family satisfaction surveys are completed at least annually. The most recent survey showed a request for smaller areas where families and residents could meet and this has been responded to with a number of additional areas set up.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It is suggested that the facility would benefit from being involved with some benchmarking activity with similar sized organisations and some further streamlining of their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which are then managed through the electronic reporting system. A sample of incidents forms reviewed showed these were fully completed, incidents were investigated, action plans developed and actions followed-up in a timely manner.  Adverse event data is collated, analysed and reported to management and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 verbal review following orientation and a performance review after one year.</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Three staff members are internal assessors for the programme.  All staff have either completed or are enrolled in required education, including dementia care.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two 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unique identifier number were used on labels on all residents` information sighted. All necessary demographic, personal, clinical and health information was fully completed in the residents` records sampled for review. The clinical notes were current and integrated with GP and allied health service provider records. Records were electronically maintained and hard copy records were legible with the name and designation of the person making the entry identifiable, for example, the activities co-ordinators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and are readily retrievable when required. Residents` records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 required level of care has been assessed and confirmed by the local Needs Assessment and Service Coordination (NASC) service. Prospective residents and/or their families are encouraged to visit the facility prior to admission and meet with the facility manager and/or nursing staff.  They are also provided with written information about the service and the admission process. The organisation seeks updated information from the DHB and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satisfied with the admission process and the information that had been made available to them on admission. Records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identified for this organisation is the implementation of the psychogeriatric unit which provides psychogeriatric level of care within the facility to ensure the residents concerned can remain in their home (this facility) when they require this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including the medication records, behavioural records and management plans and any advance directive is provided for the ongoing management of the resident. All referrals were documented in the electronic progress records reviewed. A transfer was occurring during the audit and this was managed effectively by staff. Safety was considered and family were notified of the transfer and the care plan was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 Annual competencies are completed and a record is maintained.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All medications sighted were within current use by dates. Clinical pharmacist input is provided on a regular basis and audits are completed six monthly. The GP and the pharmacist ensure reconciliation is performed of all prescriptions on admission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medication fridge were reviewed and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verified with the electronic system reviewed and as discussed with the GP. The required three monthly review is consistently recorded. The clinical leader also maintains a schedule for the medication reviews.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 Appropriate processes are in place to ensure this is managed in a safe manner when needed.</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reported to the registered nurse and/or the clinical leader. An incident form would be completed by staff. The resident or designated representative are advised. There is a process for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No standard orders are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kitchen hands and is in line with recognised nutritional guidelines for older people. The menu sighted follows the summer and winter patterns and has been reviewed by a qualified dietitian within the last two years. Any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monitors food temperatures, fridge temperatures and all food ordered is checked by the cook on arrival and stored appropriately. The cook is new to this service. All staff in the kitchen have completed food safety and food hygiene training. A flip chart is available to guide staff on all aspects of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A copy is retained in the hard copy resident’s record and a copy is provided to the cook. The personal food preferences, any special diets and modified texture requirements are made know to the kitchen staff and accommodated on the daily menu plan. Residents in the secure unit have access to food and fluids to meet their nutritional needs at all times. Special equipment, to meet the resident`s nutritional needs, was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Residents were seen to be given sufficient time to eat their meal and those requiring assistance had this provided. There is sufficient staff on duty in the two dining rooms at meal times to ensure appropriate assistance was available to residents as needed. Some residents have their meals in their own room. Family are welcome to assist at the meal times, or if visiting, are offered refreshments.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whanau/family. Examples of this occurring were discussed with the clinical leader. There is a clause in the service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recognised nursing assessment tools such as pain scale, falls risk, skin integrity, dietary profiles and depression scales, as a means to identify any deficits and to inform care planning. The sample of care plans reviewed had an integrated range of resident related information. All residents have current interRAI assessments completed by one of the four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Care plans evidence service integration with progress records, activities records, medical and allied health professional`s records clearly written, informative and relevant.  Behaviour plans are developed and implemented for residents presenting with challenging behaviour and these are evaluated regularly and any changes or alternative techniques required are updated accordingly. Any change in care required is documented and verbally passed on to relevant staff. Residents/family/whanau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identified needs, goals and the plan of care. The attention to meeting a diverse range of resident`s individual needs was evident in all areas of service provision. The GP interviewed, verified that medical input is sought in a timely manner, that medical orders are followed, and care is ‘exceptional’ and well managed by the clinical nurse manager and care staff. Care staff confirmed that care was provided as outlined in the documentation. A range of equipment and resources was readily available, suited to the levels of care and including YPD residents to meet individual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one diversional therapist and two activities coordinators. One activities coordinator is mid-way through the diversional therapy training and one has completed the diversional therapy course and is awaiting the certificate to validate completion of this training. Two coordinators cover the weekend with prepared plans provided by the diversional therapist weekly. A separate programme is developed and implemented for the four YPD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 residents` goals, ordinary patterns of life and include normal community activities. Individual, group activities and regular events are offered.  The activities programme is discussed at the minuted residents` meetings and indicated resident/family input is sought and responded to. The service`s satisfaction survey demonstrates satisfaction with the programme and that information is used to improve the range of activities offered. Residents interviewed confirmed they enjoyed the programme and outings provided.</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secure dementia and psychogeriatric service are specific to the needs and abilities of the people living in there. Activities are offered for the twenty four hours and at times when individual residents are most physically active and/or restless. This has resulted in the reduced need for medication, improved appetite and improved sleep patterns for some individual residents. Interaction with the rest home and hospital residents is encouraged when residents are able to participate.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changes are noted, it is reported to the registered nurse and to the clinical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 reassessments or as residents` needs change. Evaluations are documented by the registered nurse. Where progress is different from expected, the service responds by initiating changes to the plan of care. Examples reviewed of short term care plans showed these were consistently reviewed and progress evaluated as clinically indicated.  Wound care plans were evaluated each time the dressing was changed. Residents and families/whanau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supported to access or seek referral to other health and/or disability service providers. Although the service has a resident GP, residents may choose another medical practitioner. If the need for other non-urgent services is indicated or requested, the GP or the clinical leader sends a referral to seek specialist input. Copies of referrals were sighted in residents` hard copy records, including to orthopaedic outpatients, radiology services, diabetes clinic, dentist, podiatry and other services.</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the clinical leader or the GP. The resident and the family/whanau are kept well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 June 2017) was publicly displayed. The Certificate of Public Use for the new hospital wing has been extended until 16 June 2017 to accommodate the completion of the new lift.</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all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and were observed demonstrating they know the processes they should follow if any repairs or maintenance is required, any requests are appropriately actioned and that they are happy with the environment. The facility is accessible to meet the equipment and mobility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majority of rooms with shared ensuites, and a sufficient number of additional toilets and showers throughout the facility.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Bedrooms provide both single and some shared accommodation.  Where rooms are shared approval has been sought and adequate privacy is able to be ensured. Each resident has a call bell.  Rooms were personalised with furnishings, photos and other personal items displayed. The new rooms in the psychogeriatric wing are all an adequate size to cater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with new areas recently being developed.  Furniture was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 contracted provider with a facility to do personal washing if requested. Care staff demonstrated a sound knowledge of the laundry processes, dirty/clean flow and handling of soiled linen. Residents interviewed reported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cleaning team who have received appropriate training.  Staff have undertaken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in November 2015; this had been updated from the original plan approved on 27 May 2003, following the completion of the new hospital wing.  A trial evacuation takes place six-monthly with a copy sent to the New Zealand Fire Service, the most recent being on 13 February 2017. The orientation programme includes fire and security training.  Staff confirmed their awareness of the emergency procedures for all groups of residents.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radios, torches and gas BBQ’s were sighted and meet the requirements for the 67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which are directed to pagers, alert staff to residents requiring assistance.  Call system reviews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each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small or large deck areas. Heating is provided by oil fin or panel electric heaters in residents’ rooms and also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prevention and control is guided by a comprehensive and current infection control manual, with input from the infection control coordinator. Reference resource infection prevention and control material is also available and accessible to staff.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is the designated IPC coordinator, whose role and responsibilities are defined in a job description. Infection control matters, including surveillance results, are reported monthly to the facility manager, and tabled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IPC committee includes the clinical leader, one registered nurse and a senior caregiver.</w:t>
            </w:r>
          </w:p>
          <w:p w:rsidR="00EB7645" w:rsidRPr="00BE00C7" w:rsidP="00BE00C7">
            <w:pPr>
              <w:pStyle w:val="OutcomeDescription"/>
              <w:spacing w:before="120" w:after="120"/>
              <w:rPr>
                <w:rFonts w:cs="Arial"/>
                <w:b w:val="0"/>
                <w:lang w:eastAsia="en-NZ"/>
              </w:rPr>
            </w:pPr>
            <w:r w:rsidRPr="00BE00C7">
              <w:rPr>
                <w:rFonts w:cs="Arial"/>
                <w:b w:val="0"/>
                <w:lang w:eastAsia="en-NZ"/>
              </w:rPr>
              <w:t>Signage is available to promote infection prevention and control such as for; hand washing techniques and if visitors are unwell not to visit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appropriate skills, knowledge and qualifications for the role and has been in this position for approximately four years. The infection control coordinator (ICC) has attended infection control ‘boot camp’ training, outbreak management training and ‘Bug Control’ infection control training as verified in the training records reviewed. Well established local networks with the infection control team at the DHB are available and expert advice from the community laboratory is available if additional support/information is required. The GP interviewed stated advice can be sought from the contracted medical practice at any time. The coordinator has access to residents` electronic records and diagnostic results to ensure a timely treatment and/or resolution of any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in 2016 and included appropriate referencing. Care delivery, cleaning, laundry and kitchen staff were observed following organisational policies, such as appropriate use of hand-sanitisers, good handwashing technique and use of disposable aprons, gloves and hats, when necessary.  Hand washing facilities were readily available around the facility. Staff interviewed verified knowledge of infection control policies and practices. An external contracted infection control service provides updates and relevant infection prevention and control reference information for staff to access and for educational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annually. Education is provided by the clinical leader and the registered nurses. Content of the training was documented and evaluated to ensure it was relevant, current and understood. An on-line infection prevention and control training course is also available. A record of attendance was maintained. Separate training is provided for the domestic staff and training for the kitchen staff is centred on food hygiene and food safety requirements. When an infection outbreak or an increase in infection incidence has occurred, there was evidence that additional staff education had been provided.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one-on-one basis and handwashing is the most important. This is ongoing due to the nature of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was appropriate to that recommended for long term care facilities, with infection definitions reflecting a focus on symptoms rather than laboratory results. When an infection is identified, a record of this is documented in the electronic resident management system/infection reporting form. The IPC Committee reviews all reported infections. Monthly surveillance data is collated and analysed to identify any trends, possible causative factors and required actions. Results of the surveillance programme are shared with the registered nurses at the monthly registered nurse meetings and staff at the staff handovers. Graphs are produced that identify trends for the last month and annually, and comparisons against previous months and years can be reported on. The results are reported to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any enabler and restraint management in the facility if required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who were using either restraints or enablers and the facility maintains a restraint 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Restraint is only ever used as a last resort when all alternatives have been explored. This was evident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332"/>
        <w:gridCol w:w="77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services is clearly documented in policy and understood by the service providers, local communities and referral agencies. All assessments were able to be verified for all residents at this facility in the electronic records reviewed. The service provides a range of services and specialises in dementia care at all levels. The service recognised an increased need to provide psychogeriatric level of care within the facility. After a contract was secured a new unit was established. All staff are fully trained who work in this unit. The unit is fully supported by psycho-geriatricians from the DHB. The service is well recognised by the referral agencies as was confirmed by a visiting community nurse and the GP who were interviewed during the audit. They provided positive feedback about the service, entry criteria and the entry screening processes.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a review process including analysis and reporting of findings, evidence of action taken based on those findings, and improvements to service provision and residents’ safety, security and satisfaction as a result of the review. This implementation of the psychogeriatric unit has provided an additional level of care for the residents within this facility. A full cognitive stimulation therapy programme has been successfully implemented. The unit has full occupancy and is continuing to receive referrals from psycho-geriatricians with a recommendation to increase additional beds to meet this demand. A sensory area has been created for the residents which is proving to be successful in creating a calming space for de-escalating behaviour. Outcomes for staff have been positive, and with additional training, staff are more qualified and confident working with the residents, especially those who exhibit difficult behaviour as a result of declining abilities or dementia. Staff interviewed are learning to manage and respond to individual behaviours, identify strengths and weaknesses and maintain or maximise opportunities for residents to retain abilities and social connections, through participation in daily activities. Family members reported that their family members are well managed, are calmer, and there is excellent communication from the staff who are very attentive to meeting the residents` needs. Residents are able to socialise with other residents from the rest home and hospital when they are participating in activities together. Feedback from family members interviewed confirmed appreciation that their family members did not require a further transfer, additional stress or change that would cause them to be more distressed. The benefits for individual residents is that they are now able to be reassessed and remain at this home, or be transferred for this level of care from the DHB or other services.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Samuel Limited - Anne Maree Gardens</w:t>
    </w:r>
    <w:bookmarkEnd w:id="58"/>
    <w:r>
      <w:rPr>
        <w:rFonts w:cs="Arial"/>
        <w:sz w:val="16"/>
        <w:szCs w:val="20"/>
      </w:rPr>
      <w:tab/>
      <w:t xml:space="preserve">Date of Audit: </w:t>
    </w:r>
    <w:bookmarkStart w:id="59" w:name="AuditStartDate1"/>
    <w:r>
      <w:rPr>
        <w:rFonts w:cs="Arial"/>
        <w:sz w:val="16"/>
        <w:szCs w:val="20"/>
      </w:rPr>
      <w:t>5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