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Kaiapoi Lodge Residential 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Kaiapoi Lodge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Kaiapoi Lodge Residential Care Ltd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March 2017</w:t>
      </w:r>
      <w:bookmarkEnd w:id="7"/>
      <w:r w:rsidRPr="009418D4">
        <w:rPr>
          <w:rFonts w:cs="Arial"/>
        </w:rPr>
        <w:tab/>
        <w:t xml:space="preserve">End date: </w:t>
      </w:r>
      <w:bookmarkStart w:id="8" w:name="AuditEndDate"/>
      <w:r w:rsidR="00A4268A">
        <w:rPr>
          <w:rFonts w:cs="Arial"/>
        </w:rPr>
        <w:t>15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Kaiapoi Lodge is certified to provide rest home and hospital level care for up to 49 residents.  On the day of the audit there were 49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Standards and the contract with the district health board.  The audit process included the review of resident’s and staff files, observations and interviews with residents, relatives, staff and management.  </w:t>
      </w:r>
    </w:p>
    <w:p w:rsidRPr="00A4268A">
      <w:pPr>
        <w:spacing w:before="240" w:line="276" w:lineRule="auto"/>
        <w:rPr>
          <w:rFonts w:eastAsia="Calibri"/>
        </w:rPr>
      </w:pPr>
      <w:r w:rsidRPr="00A4268A">
        <w:rPr>
          <w:rFonts w:eastAsia="Calibri"/>
        </w:rPr>
        <w:t xml:space="preserve">The facility manager is appropriately qualified and experienced and is supported by a clinical manager.  Feedback from residents and relatives is positive.  </w:t>
        <w:br/>
        <w:t>The five shortfalls identified at the previous audit have been addressed.  These were around documenting times and designations in the residents’ progress notes, clinical assessments, medication management and dry goods food storage.</w:t>
      </w:r>
    </w:p>
    <w:p w:rsidRPr="00A4268A">
      <w:pPr>
        <w:spacing w:before="240" w:line="276" w:lineRule="auto"/>
        <w:rPr>
          <w:rFonts w:eastAsia="Calibri"/>
        </w:rPr>
      </w:pPr>
      <w:r w:rsidRPr="00A4268A">
        <w:rPr>
          <w:rFonts w:eastAsia="Calibri"/>
        </w:rPr>
        <w:t>This audit has identified no areas for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and family are kept informed including of changes in resident’s health.  The care home manager and clinical manager have an open-door policy.  Complaints processes are implemented.  Complaints and concerns are managed and documented with learning’s from complaints shared with all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Kaiapoi Lodge has an established quality and risk management system that supports the provision of clinical care and support.  An annual resident/relative satisfaction survey is completed and there are regular resident/relative meetings.  Incidents are documented and there is immediate follow up from a registered nurse.  There are comprehensive human resources policies.  The service has in place a comprehensive orientation programme that provides new staff with relevant information for safe work practice.  There is an in-service training programme covering relevant aspects of care and support and external training is supported.  The safe staffing policy aligns with contractual requirements and includes skill mixes.  Staffing levels are monitored closely with staff having input into rostering.</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six-monthly.  Resident files include three-monthly reviews by the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electronic medicines records reviewed include documentation of allergies and sensitivities and are reviewed at least three-monthly by the general practitioner.  </w:t>
      </w:r>
    </w:p>
    <w:p w:rsidRPr="00A4268A" w:rsidP="00621629">
      <w:pPr>
        <w:spacing w:before="240" w:line="276" w:lineRule="auto"/>
        <w:rPr>
          <w:rFonts w:eastAsia="Calibri"/>
        </w:rPr>
      </w:pPr>
      <w:r w:rsidRPr="00A4268A">
        <w:rPr>
          <w:rFonts w:eastAsia="Calibri"/>
        </w:rPr>
        <w:t>The activities programme includes community visitors and outings, entertainment and activities that meet the recreational preferences and abilities of the residents.</w:t>
      </w:r>
    </w:p>
    <w:p w:rsidRPr="00A4268A" w:rsidP="00621629">
      <w:pPr>
        <w:spacing w:before="240" w:line="276" w:lineRule="auto"/>
        <w:rPr>
          <w:rFonts w:eastAsia="Calibri"/>
        </w:rPr>
      </w:pPr>
      <w:r w:rsidRPr="00A4268A">
        <w:rPr>
          <w:rFonts w:eastAsia="Calibri"/>
        </w:rPr>
        <w:t>All food and baking is done on-site.  All residents' nutritional needs are identified and documented.  Choices are available and are provided.  An external dietitian reviews the menus.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holds a current warrant of fitness.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including restraint minimisation.  There is a documented definition of restraint and enablers that aligns with the definition in the standards.  There were three hospital residents requiring the use of a restraint and one rest home resident had requested the use of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uses the information obtained through surveillance to determine infection control activities, resources and education needs within the facility.  The service engages in benchmarking with other aged care facilities via an electronic quality management programme.  Staff receive on-going training in infection control.  The facility has had one outbreak since its previous audit and this was evidenced to be well managed.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Residents and their family/whānau are provided with information on admission.  Complaint forms are available at the entrance of the service.  Staff are aware of the complaints process and to whom they should direct complaints.  An electronic complaints register is maintained with all documentation which shows that complaints are managed and resolved.  The service had received four complaints since their previous audit.  All documentation reviewed evidenced that the complaints process had been followed.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were welcomed on entry and were given time and explanation about services and procedures.  The managers have an open-door policy.  Relatives interviewed confirmed that the staff and management are approachable and available.  Resident meetings provide an opportunity for feedback.  Annual resident and relative satisfaction surveys are completed that provide feedback on all areas of the service.  Staff complete a self-directed questionnaire on effective communication.  Residents and family members interviewed stated they are informed of changes in health status and incidents/accidents.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Kaiapoi Lodge provides rest home and hospital level care for up to 49 residents within a 20 bed hospital wing and a 29 bed rest home wing.  Eight rest home rooms are dual purpose.  On the day of audit there were 49 residents (20 hospital and 29 rest home).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mission statement, philosophy, business plan for 2017 and an implemented quality and risk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 registered nurse and has been in the role for ten years.  He is supported by a full-time clinical nurse manager, who holds a post graduate nursing qualification in gerontology.  The facility manager and clinical nurse manager have both attended more than eight hours of professional development in the past 12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quality and risk management planning procedures describe the quality improvement processes.  The quality assurance and risk management plan describes objectives, management controls and assigned responsibility.  Progress with the quality and risk management programme is monitored by the facility manager and discussed at quality meetings and two-monthly staff meetings.  Monthly and annual reviews are completed for all areas of service.  Meeting minutes are maintained and staff are expected to read the minutes and sign off when read.  Minutes for all meetings include actions to achieve compliance where relevant.  Discussions with registered nurses and healthcare assistants confirm their involvement in the quality programme.  Resident/relative meetings are held.  Data is collected on: complaints, accidents, incidents, infection control and restraint use and all are benchmarked against other aged care providers.  There is an implemented internal audit schedule and areas of non-compliance have been actioned for improvement.  The service has a health and safety management system.  There are implemented risk management and health and safety policies and procedures in place including accident and hazard management.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policies/procedures to support service delivery.  There is a document control policy and all policies and procedures are reviewed regularly by an external aged care consultant.  Falls prevention strategies are implemented for individual residents and staff receive training to support falls prevention.  Residents and families are surveyed and the outcomes are communicated to residents, staff and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Incident and accident data is collected and analysed.  The facility uses an electronic quality programme to log incident and accident data.  Discussions with the service confirm that there is an awareness of the requirement to notify relevant authorities in relation to essential notifications.  A sample of 12 resident related incident reports for February and March 2017 were reviewed.  All reports and corresponding resident files evidence that appropriate clinical care is provided following an incident.  Reports were completed and family notified as required.  There is an incident reporting policy that includes: definitions, responsibilities, immediate action, reporting, monitoring and corrective actions to minimise and debriefing.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recruitment and staff selection process requires that relevant checks are completed to validate the individual’s qualifications, experience and veracity.  A copy of practising certificates are kept.  There are comprehensive human resources policies.  Six staff files were reviewed and included the clinical nurse manager, one registered nurse, two healthcare assistants, one cook and the diversional therapist.  Files included all appropriate documentation.  Staff turnover was reported as low.  The service has a comprehensive orientation programme that provides new staff with relevant information for safe work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were able to describe the orientation process and stated that they believed new staff were adequately orientated to the service.  Healthcare assistants are orientated by preceptors.  Annual appraisals are conducted for all staff.  There is a completed in-service calendar for 2016 which exceeded eight hours annually and a current plan for 2017 is being implemented.  Healthcare assistants have either completed or commenced the Careerforce aged care education programme.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clinical nurse manager and registered nurses have attended external training including conferences, seminars and education sessions with the local DHB.  Five of seven RNs have completed the interRAI training and have maintained their competence.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Kaiapoi Lodge has a roster in place which provides sufficient staffing cover for the provision of care and service to residents.  There is a registered nurse on duty 24/7 in the hospital unit.  In the rest home, there is a registered nurse on duty Monday-Friday mornings.  The clinical nurse manager and facility manager both work full-time and provide 24/7 registered nursing on call cover.  Healthcare assistants advise that sufficient staff are rostered on for each shift.  All registered nurses and senior healthcare assistants are trained in first aid and CPR.  Residents and families interviewed advised that there is sufficient staff on to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Kaiapoi Lodge has comprehensive policies and procedures on restraint minimisation and safe practice.  The facility manager (registered nurse) is the restraint coordinator.  The service is actively working towards a restraint-free environment.  Policy states that enablers are voluntary.  There are three hospital residents with restraint and one rest home resident with an enabler.  Policy includes guidelines for use of enablers and restraint, alternatives to be conducted, de-escalation techniques, use of diversional therapies and restraint is used only as a last resort.  Documentation includes restraint register, restraint/enabler assessment forms, restraint/enabler consent forms, a restraint/enabler plan in the resident care plan, monitoring forms and three-monthly evaluation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The service uses an electronic medication management system which has addressed the previous audit finding around medication prescribing compliance.  There was one resident assessed in the hospital as competent to self-administer medication.  A competency to self-administer medication is current and has been reviewed at three-monthly GP medication reviews.  This previous audit finding has been addressed.  All medications were securely and appropriately stored.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or senior healthcare assistants administer medications.  All staff who administer medications have completed annual medication competencies.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electronic medication charts reviewed evidenced three-monthly review by the GP.  </w:t>
            </w:r>
          </w:p>
          <w:p w:rsidR="00EB7645" w:rsidRPr="00BE00C7" w:rsidP="00BE00C7">
            <w:pPr>
              <w:pStyle w:val="OutcomeDescription"/>
              <w:spacing w:before="120" w:after="120"/>
              <w:rPr>
                <w:rFonts w:cs="Arial"/>
                <w:b w:val="0"/>
                <w:lang w:eastAsia="en-NZ"/>
              </w:rPr>
            </w:pPr>
            <w:r w:rsidRPr="00BE00C7">
              <w:rPr>
                <w:rFonts w:cs="Arial"/>
                <w:b w:val="0"/>
                <w:lang w:eastAsia="en-NZ"/>
              </w:rPr>
              <w:t>All ten electronic medication charts reviewed have ‘as required’ medications prescribed including reason for use.  Discontinued medications have been signed off.  Medication administration records were signed as medication was administered.  All previous medication findings have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There is a signed agreement with the pharmacy.  Medications are checked on arrival and any pharmacy errors are recorded and reported to the supplying pharmacy.  Medication errors are reported on and are part of the quality meeting.  The medication fridge has temperatures recorded daily and these are within acceptable ranges.  Controlled drug medications are entered into a register and checked weekly by the clinical manager and a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one cook and two relieving cooks who have all completed food safety certificates.  The procurement of the food and management of the kitchen is overseen by the main cook.  All meals are cooked on-site.  There are two separate dining rooms.  Meals are plated from a bain-marie in each dining area.  On the day of the audit, meals were observed to be well presented.  There is a kitchen manual and a range of policies and procedures to safely manage the kitchen and meal services.  Audits are implemented to monitor performance.  All decanted foods are dated and stored appropriately evidencing the previous audit finding has been addressed.  Kitchen fridge, food, freezer and dishwasher temperatures have been monitored and documented daily, these remain within safe limits.  The residents have a nutritional profile developed on admission, which identifies dietary requirements and likes and dislikes.  This is reviewed six-monthly as part of the care plan review.  The menu is a six-week seasonal menu and has been audited and approved by an external dietitian.  Residents and families interviewed were complimentary of the food service and are able to provide feedback through a food survey and resident/relative meetings.  Meetings with kitchen staff are held and outcomes of internal audits or surveys are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weights are monitored monthly or more frequently if required.  Dietary supplements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nurses initiate a review and, if required, a GP or nurse specialist consultation.  There is evidence that family members are notified of any changes to their relative’s health.  Discussions with families and notifications are documented in the resident file.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treatment rooms.  Wound management policies and procedures are in place.  Wound assessments, treatment and evaluations are in place for all current wounds (one infected toe).  There were no pressure injuries on the day of audit.  There is a range of equipment readily available to minimise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Resident files include a urinary/faecal continence assessment.  Management of bowel conditions are documented in the care plan and monitoring is evidenced by the completion of bowel charts.  Any continence management and products required are clearly documented in the care plan to guide staff.</w:t>
            </w:r>
          </w:p>
          <w:p w:rsidR="00EB7645" w:rsidRPr="00BE00C7" w:rsidP="00BE00C7">
            <w:pPr>
              <w:pStyle w:val="OutcomeDescription"/>
              <w:spacing w:before="120" w:after="120"/>
              <w:rPr>
                <w:rFonts w:cs="Arial"/>
                <w:b w:val="0"/>
                <w:lang w:eastAsia="en-NZ"/>
              </w:rPr>
            </w:pPr>
            <w:r w:rsidRPr="00BE00C7">
              <w:rPr>
                <w:rFonts w:cs="Arial"/>
                <w:b w:val="0"/>
                <w:lang w:eastAsia="en-NZ"/>
              </w:rPr>
              <w:t>Resident weights are recorded monthly or more frequently if weight is of concern.  Nutritional requirements and assessments are completed on admission.  Nutritional needs are reassessed at least six-monthly or when there is a change to the resident’s nutritional or dietary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document appropriate interventions to manage short term changes in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document detailed interventions.  </w:t>
            </w:r>
          </w:p>
          <w:p w:rsidR="00EB7645" w:rsidRPr="00BE00C7" w:rsidP="00BE00C7">
            <w:pPr>
              <w:pStyle w:val="OutcomeDescription"/>
              <w:spacing w:before="120" w:after="120"/>
              <w:rPr>
                <w:rFonts w:cs="Arial"/>
                <w:b w:val="0"/>
                <w:lang w:eastAsia="en-NZ"/>
              </w:rPr>
            </w:pPr>
            <w:r w:rsidRPr="00BE00C7">
              <w:rPr>
                <w:rFonts w:cs="Arial"/>
                <w:b w:val="0"/>
                <w:lang w:eastAsia="en-NZ"/>
              </w:rPr>
              <w:t>Monitoring occurs for: weight, vital signs, blood glucose, pain, wounds, restraint, continence and behaviour.  Registered nurses review the monitoring charts and report identified concerns to the GP, nurse practitioner or nurse specialist.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one activities coordinator and one activities volunteer assisting with activities from Monday to Friday.  On the day of audit, residents were observed being actively involved in activities.  Residents and family interviewed are satisfied with the activities provided.  The activities programme is comprehensive, diverse and is designed for high end and low end cognitive functions and focused on achieving individual goals.  The programme is developed monthly and displayed in large print.  Residents have an assessment completed over the first three weeks after admission, obtaining a complete history of past and present interests, career and family.  Resident files reviewed identified that the individual activity plan is reviewed at least six-monthly.  The activities coordinator explained the variety of activities and how the activities programme aims to promote resident individual choice, highlighting the ‘kite programme’ (kindergarten interaction through the elderly).  Photographs displayed highlight children showing residents how to use an Ipad.  Activities also include: music therapy, resident gardening projects, Men’s shed visits, entertainers and active community participation (residents visit a community day care for elderly).</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are evaluated by a registered nurse six-monthly or when changes to care occurs.  Short-term care plans for short term needs were evaluated and either resolved or added to the long-term care plan as an on-going problem.  There is evidence of review by allied health and nurse specialists as required.  There is at least a three-monthly medical review by the medical practitioner.  The family members interviewed confirmed they are invited to attend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which expires 30 June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infection monitoring policy.  The clinical nurse manager is the designated infection control nurse.  Monthly infection data is collected for all infections based on signs and symptoms of infection and entered on to the online electronic quality programme.  An individual electronic resident infection form is completed which includes signs and symptoms of infection, treatment, follow up, review and resolution.  Surveillance of all infections has been entered on to a monthly facility infection summary online programme and staff have been informed via meetings.  The service benchmarks against other aged care facilities via the use of an online electronic quality management system.  An outbreak in August 2016 was managed and appropriate authorities were notified.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Kaiapoi Lodge has comprehensive policies and procedures on restraint minimisation and safe practice.  The facility manager (registered nurse) is the restraint coordinator.  The service is actively working towards a restraint-free environment.  Policy states that enablers are voluntary.  There are three hospital residents with restraint and one rest home resident with an enabler.  Policy includes guidelines for use of enablers and restraint, alternatives to be conducted, de-escalation techniques, use of diversional therapies and restraint is used only as a last resort.  Documentation includes restraint register, restraint/enabler assessment forms, restraint/enabler consent forms, a restraint/enabler plan in the resident care plan, monitoring forms and three-monthly evaluation forms.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Kaiapoi Lodge Residential Care Limited</w:t>
    </w:r>
    <w:bookmarkEnd w:id="58"/>
    <w:r>
      <w:rPr>
        <w:rFonts w:cs="Arial"/>
        <w:sz w:val="16"/>
        <w:szCs w:val="20"/>
      </w:rPr>
      <w:tab/>
      <w:t xml:space="preserve">Date of Audit: </w:t>
    </w:r>
    <w:bookmarkStart w:id="59" w:name="AuditStartDate1"/>
    <w:r>
      <w:rPr>
        <w:rFonts w:cs="Arial"/>
        <w:sz w:val="16"/>
        <w:szCs w:val="20"/>
      </w:rPr>
      <w:t>15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