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Kena Kena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Kena Kena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Kena Kena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2016</w:t>
      </w:r>
      <w:bookmarkEnd w:id="7"/>
      <w:r w:rsidRPr="009418D4">
        <w:rPr>
          <w:rFonts w:cs="Arial"/>
        </w:rPr>
        <w:tab/>
        <w:t xml:space="preserve">End date: </w:t>
      </w:r>
      <w:bookmarkStart w:id="8" w:name="AuditEndDate"/>
      <w:r w:rsidR="00A4268A">
        <w:rPr>
          <w:rFonts w:cs="Arial"/>
        </w:rPr>
        <w:t>7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Kena Kena Rest Home is certified to provide rest home level care for up to 41 residents. There have been no changes in the governance or management since the last certification audit. </w:t>
      </w:r>
    </w:p>
    <w:p w:rsidRPr="00A4268A">
      <w:pPr>
        <w:spacing w:before="240" w:line="276" w:lineRule="auto"/>
        <w:rPr>
          <w:rFonts w:eastAsia="Calibri"/>
        </w:rPr>
      </w:pPr>
      <w:r w:rsidRPr="00A4268A">
        <w:rPr>
          <w:rFonts w:eastAsia="Calibri"/>
        </w:rPr>
        <w:t xml:space="preserve">This surveillance audit was conducted to assess on going compliance with the Health and Disability Standards and the contract with the district health board (DHB).  The audit process included a review of policies and procedures, sampling of both resident and staff files, observations, interviews with residents, family, management, governance representatives, staff and a general practitioner (GP).  </w:t>
      </w:r>
    </w:p>
    <w:p w:rsidRPr="00A4268A">
      <w:pPr>
        <w:spacing w:before="240" w:line="276" w:lineRule="auto"/>
        <w:rPr>
          <w:rFonts w:eastAsia="Calibri"/>
        </w:rPr>
      </w:pPr>
      <w:r w:rsidRPr="00A4268A">
        <w:rPr>
          <w:rFonts w:eastAsia="Calibri"/>
        </w:rPr>
        <w:t xml:space="preserve">There were no areas of non-conformance identified during the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report that they are given sufficient information regarding the services they are to receive and feel informed. Management has an open door policy. Information regarding the services available is provided and resident satisfactions surveys are conducted. There is evidence that family are notified as required. The complaints process is accessible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documented quality and risk management system. The required policies and procedures are documented and current. Organisational performance is monitored by the directors. Quality activities ensure that improvements are made in a continual manner. Adverse events are well managed and monitored for trends. Human resource processes ensure that there are suitable number of trained staff on duty at all times. Staff numbers are sufficient to ensure the needs of residents are met over the 24 hour period.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evaluated in a timely manner. Interventions are sufficiently detailed to address the care needs. Short term care plans are developed when acute conditions are identified and resolutions are documented.</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that activities are enjoyable and meaningful to them.</w:t>
      </w:r>
    </w:p>
    <w:p w:rsidRPr="00A4268A" w:rsidP="00621629">
      <w:pPr>
        <w:spacing w:before="240" w:line="276" w:lineRule="auto"/>
        <w:rPr>
          <w:rFonts w:eastAsia="Calibri"/>
        </w:rPr>
      </w:pPr>
      <w:r w:rsidRPr="00A4268A">
        <w:rPr>
          <w:rFonts w:eastAsia="Calibri"/>
        </w:rPr>
        <w:t>The medicine management system meets the required regulations and guidelines. Medication competencies are maintained.</w:t>
      </w:r>
    </w:p>
    <w:p w:rsidRPr="00A4268A" w:rsidP="00621629">
      <w:pPr>
        <w:spacing w:before="240" w:line="276" w:lineRule="auto"/>
        <w:rPr>
          <w:rFonts w:eastAsia="Calibri"/>
        </w:rPr>
      </w:pPr>
      <w:r w:rsidRPr="00A4268A">
        <w:rPr>
          <w:rFonts w:eastAsia="Calibri"/>
        </w:rPr>
        <w:t xml:space="preserve">Food services meet food safety guidelines and legislation. The individual food, fluids and nutritional needs of the residents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there have been no changes to the facility since the last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identify the safe use of restraints and enablers which are utilised as the least restrictive option and allow the residents to maintain independence, comfort and safety.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3"/>
        <w:gridCol w:w="1280"/>
        <w:gridCol w:w="99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complies with Right 10 of the Code. All residents are given information regarding the complaints process. Complaint forms are easily accessible and residents interviewed reported they would use the complaints process if required. A complaints register is maintained. There have been two documented complaints since the last certification audit. Records sampled confirmed that they had been well managed, and resolved to the satisfaction of the complainant. Opportunities for improvement are made as required. Complaints are fully discussed at the quality assurance meetings. Resident meetings are also conducted and these provide opportunities for residents to verbalise any day to day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Discussions with residents and their family members are documented in residents’ records. Resident and relative satisfaction surveys confirmed that the organisation is committed to sharing information in an open manner. Residents are given information regarding the services they will receive, including any additional costs, during the admission process. Resident agreements comply with district health board requirements. Residents interviewed confirmed that they are aware of the staff that are responsible for their care for the day and what the programme for the day will include. The facility manager reported that access to interpreter services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governance or management structure since the last audit. A business plan and a quality and risk management plan are documented, as is the mission statement, values, vision and objectives. Organisation performance is monitored by the directors. There are appropriate systems in place to ensure day-to-day operations continue should the facility manager (FM) and/or the clinical manager (CM) be absent.  Both are registered nurses with a current annual practicing certificate and maintain their clinical scope of practice. The organisational chart confirms reporting lines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is currently certified to provide 41 rest home and residential disability care beds for residents under the age of 65.  The rest home also has a contract with the district health board for long term support – chronic health conditions. There were 40 residents on the day of the audit. This included one resident under 65 and one resident admitted under long term care. The remaining residents were assessed as requiring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Policies and procedures are purchased from an external consultant and are relevant to the scope and complexity of the service.  Policies and procedures are updated as required to reflect current good practice, and reference legislative requirements.  All policies and procedures sighted were current and controlled. There is a system for managing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business activities are conducted. The managers have an annual meeting with the accountant to discuss business plans and goals for the coming year. Quality goals are identified in measurable terms. Achievement towards quality goals is measured through satisfaction surveys, internal audits and monitoring of clinical outcomes. The internal audit programme covers the scope of the system and there is evidence that corrective actions are identified, implemented and evaluated. A register (summary) of continuous quality improvement (CQI) auditing activity results is maintained. Business, clinical and quality data is collated and discussed at quality meetings. This includes the results of surveys, complaints, infection control surveillance, health and safety, restraint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and clinical risks are identified. Risks are discussed at staff and quality meetings. A health and safety programme is implemented including the management of hazards. Management interviewed were well versed in their responsibilities under the amended work safe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on all adverse events are maintained. Accident and incident forms are forwarded to either the facility manager (FM) or the clinical manager (CM) for follow up. Records of incident reports sampled confirmed appropriate and timely immediate actions, followed by an investigation. Where required a corrective action plan is developed and evaluated.  There is evidence that the family and general practitioner (GP) are notified as required and the managers understand their obligations in relation to additional essential notifications.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Adverse events are collated by type and graphed for trends. Information on adverse events is discussed at quality management meetings. Adverse events policies and procedures comply with essential notification reporting (e.g. health and safety, human resources,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procedures comply with good employment practice.  The skills and knowledge required for each position is documented in position descriptions which outline accountability, responsibilities and authority.  The two registered nurses maintain their annual practicing certificate and all care givers have a qualification in working with the older person.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an orientation.  The orientation programme includes the essential components of service delivery. The required orientation records were sighted in staff records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in-service education programme. The education planner includes the requirements of this standard and the district health board contract. Individual staff attendance records were sampled and confirmed the provision of the scheduled programme. Competency assessments are also completed, for example restraint competencies and medication competencies. Additional training is accessed as required or available. A number of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performance is monitored. All staff have an annual performance appraisal. Appraisals were sighted in the staff records sampled.  Care staff interviewed confirmed they have completed an orientation, including competency assessments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There is a registered nurse on site seven days a week between 7am and 5.30pm with on call support 24 hours a day, seven days a week. Each of the three wings is staffed by care givers, with two staff on duty during the night. There is at least one staff member with a current first aid certificate on each shift.  Residents and family interviewed reported that staff are available when needed. Rosters sampled confirmed sufficient cover. This included staff replacement in the event of absence. It is reported that bureau staff are rarely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to ensure safe delivery of medicines to the residents. Allergies and indications of medicines are documented. Medication records are reviewed every three months. Weekly and six-monthly controlled drugs stocktakes are conducted. The controlled drugs register was correct and current. The medication fridge is monitored and the temperature is recorded daily.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lunchtime medication complied with the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on audit day. Policies and procedures are in place to ensure safe storage and compliance in relation to self-administration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Cooked meals are plated from the kitchen to the main dining area. Fridge and food temperatures are monitored and recorded daily. There is evidence that the current menu is reviewed every two years by a dietician. </w:t>
            </w:r>
          </w:p>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are in place and implemented. A system is in place when receiving and utilising supplies. Staff working in the kitchen have current food handling certificates. A kitchen cleaning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desired food, fluids and nutritional needs. Dietary forms are completed by the manager on admission and a copy is provided to the kitchen. Modified foods are provided to the residents when required. The meals are well-presented and the residents reported that they are provided with alternative meals as per request. Residents have stable weights and residents with weight changes are provided with food supplements or fortified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RNs. Interventions in both long and short term care plans are sufficiently detailed to address the desired goals/outcomes. Documented interventions are simple, practical and staff reported they are easy to follow.</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wounds and behaviour.</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who require them. The RNs have access to specialist services when needed. Referrals are initiated by the GP or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for the residents are appropriate to their needs, age and culture. Activity plans are developed by the diversional therapist (DT) using the resident’s profile gathered during the interview with the resident and their family. Activities are developed to be physically and mentally stimulating. There is one diversional therapist assistant working with the DT.</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provided with a monthly activities programme while weekly activities are posted in communal areas. A participation log is maintained by the DT or DT assistant and residents are referred to the RNs when involvement in activities changes. Interviewed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evaluated in a comprehensive and timely manner. Evaluations include the resident’s degree of achievement towards meeting the desired goals/outcomes. Resident’s response to the treatment regime in the short term care plan is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certification audit. A current building warrant of fitness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plan. Evacuation drills are conducted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conducted in accordance with agreed objectives, priorities, and methods that have been specified in the infection control programme. The infection control coordinator is responsible for the surveillance programme. Clear definitions of surveillance and types of infections (e.g. facility-acquired infections) are documented. Information is collated on a monthly basis and documented in the infection log. Data is trended and infections are investigated. Surveillance results are discussed in the quality assurance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utilised as a last resort in providing safety and comfort to the residents. There were two residents using restraints and no residents using enablers. The restraint register is current and updated. Risk management plans are in place to minimise restraint-related injuries. Restraint minimisation policies and procedures are in place, and include definitions, processes and the safe use of restraints and enablers. Staff demonstrated good knowledge regarding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Kena Kena Rest Home Limited</w:t>
    </w:r>
    <w:bookmarkEnd w:id="58"/>
    <w:r>
      <w:rPr>
        <w:rFonts w:cs="Arial"/>
        <w:sz w:val="16"/>
        <w:szCs w:val="20"/>
      </w:rPr>
      <w:tab/>
      <w:t xml:space="preserve">Date of Audit: </w:t>
    </w:r>
    <w:bookmarkStart w:id="59" w:name="AuditStartDate1"/>
    <w:r>
      <w:rPr>
        <w:rFonts w:cs="Arial"/>
        <w:sz w:val="16"/>
        <w:szCs w:val="20"/>
      </w:rPr>
      <w:t>7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