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Fergusson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Fergusson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2017</w:t>
      </w:r>
      <w:bookmarkEnd w:id="7"/>
      <w:r w:rsidRPr="009418D4">
        <w:rPr>
          <w:rFonts w:cs="Arial"/>
        </w:rPr>
        <w:tab/>
        <w:t xml:space="preserve">End date: </w:t>
      </w:r>
      <w:bookmarkStart w:id="8" w:name="AuditEndDate"/>
      <w:r w:rsidR="00A4268A">
        <w:rPr>
          <w:rFonts w:cs="Arial"/>
        </w:rPr>
        <w:t>8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Fergusson provides hospital (geriatric and medical), rest home and dementia level care for up to 112 residents. On the day of audit there were 106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Pr="00A4268A">
      <w:pPr>
        <w:spacing w:before="240" w:line="276" w:lineRule="auto"/>
        <w:rPr>
          <w:rFonts w:eastAsia="Calibri"/>
        </w:rPr>
      </w:pPr>
      <w:r w:rsidRPr="00A4268A">
        <w:rPr>
          <w:rFonts w:eastAsia="Calibri"/>
        </w:rPr>
        <w:t>This certification audit identified that improvements are required in relation to the aspects of care planning, medication management and wound management.</w:t>
      </w:r>
    </w:p>
    <w:p w:rsidRPr="00A4268A">
      <w:pPr>
        <w:spacing w:before="240" w:line="276" w:lineRule="auto"/>
        <w:rPr>
          <w:rFonts w:eastAsia="Calibri"/>
        </w:rPr>
      </w:pPr>
      <w:r w:rsidRPr="00A4268A">
        <w:rPr>
          <w:rFonts w:eastAsia="Calibri"/>
        </w:rPr>
        <w:t>The service has received a continued improvement rating around analysing quality data.</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Fergusson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An activities programme is implemented separately for the rest home, hospital and dementia residents.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All food and baking is done on site.  All residents' nutritional needs are identified and documented.  Choices are available and are provided.  The organisational dietitian reviews the Bupa menu plans.  Nutritious snacks are available 24/7 in the dementia unit.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secure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  </w:t>
      </w: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Bupa Fergusson has restraint minimisation and safe practice policies and procedures in place.  Staff receive training in restraint minimisation and challenging behaviour management.  At the time of the audit, there were four residents with restraint and two residents with enablers.  Restraint processes are being implemented.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2"/>
        <w:gridCol w:w="1280"/>
        <w:gridCol w:w="93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(six caregivers, two RNs, two unit coordinators, one nurse educator/RN, one activity coordinator, one kitchen manager, the care home manager and clinical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residents’ files reviewed.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  All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They have also created ongoing relationships with community groups that come to Bupa Fergusson.  Resident and relative meetings are held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Documentation including follow-up letters and resolution demonstrates that complaints are being managed in accordance with guidelines set forth by the Health and Disability Commissioner (HDC).  Complaints received in 2016 and 2017 to date were reviewed.  All were documented including investigation, follow-up letter and resolution.  The number of complaints received each month is reported monthly to care services via the facility benchmarking spread sheet.  Discussions with residents and relatives confirmed they were provided with information on complaints and complaints forms.  Complaints forms and a suggestion box are placed at reception and at each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the clinical manager and unit coordinators discuss aspects of the Code with residents and their family on admission.  Discussions relating to the Code are held during the resident/family meetings.  Five residents (three rest home and two hospital) and eleven relatives (five rest home, four hospital and two dementia care)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One resident who identified as Māori was living at the facility.  There are links to the local Orongomai marae.  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Interviews with two caregivers from the dementia unit could describe how they build a supportive relationship with each resident.  Interviews with two relatives from the dementia unit confirmed that staff are reassuring and assist to relieve resident’s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7 days a week, 24 hours a day.  A general practitioner (GP) visits the facility on a weekly basis and provides an after-hours service.  The GP reviews residents identified as stable every three months, with more frequent visits for those residents whose condition is not deemed stable.  The GP interviewed was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nurse specialist’s visits.  Physiotherapy services are provided on-site eight hours per week.  A dietitian is also available for urgent consultations.  There is a regular in-service education and training programme for staff.  A podiatrist is on-site every six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Bupa has established benchmarking groups for rest home, hospital and dementia services.  Bupa Fergusson is benchmarked against the rest home, hospital and dementia services data.  If the results are above the benchmark, a corrective action plan is developed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family are kept informed.  Relatives interviewed stated that they are kept informed when their family member’s health status changes.  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An introduction to the dementia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Fergusson provides hospital (geriatric and medical), rest home and dementia level care for up to 112 residents.  On the day of audit there were 106 residents including one rest home resident receiving respite care and one hospital younger person’s resident under 65 years of age (YPD).  There were 51 of 53 residents in rest home beds, 38 of 41 hospital residents and 17 of 18 residents in the dementia care beds.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and are regularly reviewed by the care home manager.  A quarterly report is prepared by the care home manager and sent to the Bupa quality and risk team on the progress and actions that have been taken to achieve the Bupa Fergusson quality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goal in 2017 to decrease falls by 25% from 2016.  Falls Management committee continue to meet monthly to discuss trends. There was a decrease in falls rate noted from October to December 2016 for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Another goal they set is to decrease staff injuries as a result of resident behaviour by 50% from 2016 to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(RN).  The care home manager has been in the role for one year and has been at Bupa for seven years.  She is currently supported by an acting clinical manager (unit coordinator) and a new clinical manager/RN that has been in the role for one week.  The new clinical manager has previous experience working as a clinical nurse manager overseas.  The care home manager and clinical manager are supported by a Bupa regional manager and three unit coordinators.  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A health and safety officer (maintenance person)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data analysis completed on falls, the facility has implemented a number of quality improvements.  Falls prevention strategies include: the recent formation of a falls focus and skin tear prevention group, manual handling refresher education for all care staff, ensuring transfer plans are current, intentional rounding, use of senor mats, analysis of falls events including times and location of falls and links to any infection/period of illness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Fifteen accident/incident forms were reviewed.  Each event involving a resident reflected a clinical assessment and follow-up by a RN.  Neurological observations are conducted for unwitnessed falls.  Data collected on incident and accident forms are linked to the quality management system.  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(two RNs, seven caregivers, one activities coordinator) included a recruitment process (interview process, reference checking, police check), signed employment contracts, job descriptions and completed orientation programmes.  A register of RN staff and other health practitioner practising certificates is maintained.  The orientation programme provides new staff with relevant information for safe work practice.  Staff are required to complete written core competencies during their induction.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There is an attendance register for each training session and an individual staff member record of training.  Eighty-two per cent of the total staff have attained at least one Bupa Personal Best certificate.  A total of 65% of caregivers have attained a Careerforce qualification.  </w:t>
            </w:r>
          </w:p>
          <w:p w:rsidR="00EB7645" w:rsidRPr="00BE00C7" w:rsidP="00BE00C7">
            <w:pPr>
              <w:pStyle w:val="OutcomeDescription"/>
              <w:spacing w:before="120" w:after="120"/>
              <w:rPr>
                <w:rFonts w:cs="Arial"/>
                <w:b w:val="0"/>
                <w:lang w:eastAsia="en-NZ"/>
              </w:rPr>
            </w:pPr>
            <w:r w:rsidRPr="00BE00C7">
              <w:rPr>
                <w:rFonts w:cs="Arial"/>
                <w:b w:val="0"/>
                <w:lang w:eastAsia="en-NZ"/>
              </w:rPr>
              <w:t>A total of 10 caregivers are employed to work in the dementia unit with nine having completed their national dementia qualification.  The one caregiver is in process of completing their qualification and has been employed for less than six months.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Sixteen RNs and two enrolled nurses are employed.  Ten of sixteen RNs have completed their InterRAI training.  There are a number of implemented competencies for RNs including (but not limited to) medication competencies and wound care.  Assistance with numeracy and literacy is available and is provided to those staff that request or need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full-time care home manager who works from Monday to Friday.  There are two unit coordinators (RNs) in the dementia and hospital units.  An enrolled nurse is the unit coordinator in the rest home.  The unit coordinators work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oversees the rest home and provides RN input in the rest home and supports the unit coordinators across all areas.  There is also a RN in the hospital across all shifts.  RNs are supported by sufficient numbers of caregivers across all shifts.  Separate laundry and cleaning staff are employed seven days a week.  Interviews with staff, residents and family members identify that staffing is adequate to meet the needs of residents and staffing can be adjusted related to the needs of the residents.  There is a pool of casual staff to cover leave and sickness.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and resident information handbook outlines access, assessment and the entry screening processes.  The local community and needs assessment and coordination agencies are familiar with entry criteria and how to access the service.  The service operates 24 hours a day, 7 days a week.  Comprehensive information about the service is made available to referrers, potential residents and their families and sighted resident agreements contain all detail required under the Aged Residential Care Agreement.  Family members and residents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One file reviewed was of a resident that had been transferred to hospital acutely.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the medication room/cupboards.  Medication administration practice did not comply with the medication management policy for the medication round sighted.  There was evidence of three monthly reviews by the GP.  Registered nurses and caregivers administer medicines.  All staff that administer medicines are competent and have received medication management training.  Not all medications were evidenced to be administered as prescribed. The facility uses a robotically packed medication management system for the packaging of all tablets.  The RN on duty reconciles the delivery and documents this. Temperature monitoring of the medication fridges was not evidenced to be occurring as per Bupa policy.  There were no residents self-administering medication on the day of audit.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kitchen manager who oversees food management.  The food, fluid, and nutritional needs of residents are provided in line with recognised nutritional guidelines and there is a national menu in place that has been audited and approved by an external dietitian.  There are policies in place to guide staff.  All food is cooked on site in a large commercial kitchen.  There is sufficient storage available.  Stock rotation is practised.  Hot food temperatures are monitored daily on all meals (records sighted).  Fridges and freezers have temperatures monitored daily.  Chilled inward goods are temperature checked on delivery and prior to storage.  Daily air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Resident likes and dislikes are known, recorded in the kitchen and alternatives are offered.  The residents have a nutritional profile developed on admission, which identifies dietary requirements and likes and dislikes and is reviewed six monthly, as part of the care plan review.  Special diets (ie, soft and pureed diets) are noted on the kitchen noticeboard, which can be viewed only by kitchen staff.  Meals are served from bain-maries to the residents in the dining rooms and can be delivered to rooms as required.  Specialist utensils and plates are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annual satisfaction survey monitors food satisfaction.  The kitchen is included in the internal audit programme.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commented positively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or, if the person has health needs that are not able to be provided by the facility.  If a potential admission was declined entry, the consumer and where appropriate their family/whānau of choice, is informed of the reason for the decline and provided with other options where they can access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assessment booklets and care plans were comprehensively completed for all the permanent resident files reviewed.  InterRAI initial assessments and assessment summaries were evident in printed format in all permanent resident files.  Files reviewed across the rest home, dementia and hospital units identified that risk assessments have been completed on admission and reviewed six monthly as part of the evaluation.  Additional assessments for management of behaviour, pain, wound care and restraint were appropriately completed according to need.  For the resident files reviewed, the outcomes from assessments and risk assessments were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 service integration and input from allied health.  All resident care plans sampled were resident centred; however, not all support needs were documented in detail.  Family members interviewed confirm care delivery and support by staff is consistent with their expectations.  One hospital resident had a specific ‘End of Life’ care plan in place following a change in health status.  Other specific care plans were implemented for specific health needs, including (but not limited to) dementia, medical needs, diabetes, and chronic wounds.  The contracted physiotherapist has completed transfer plans.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signed-off as resolved or transferred to the long-term care plan.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or wound care specialist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were not fully completed for all wounds.  On the day of audit, there were nineteen wounds. These included four chronic ulcers, five skin tears, one surgical skin graft, one cellulitis wound, two skin cancer lesions, one abrasion, one bruise, and four pressure injuries; (one stage-3, one stage-2 and two stage-1).   Not all wounds have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an understanding of the individualised needs of residents.  Monitoring charts sighted included behaviour charts, restraint monitoring forms, turning charts, food and fluid charts, regular monitoring of bowels and regular (monthly or more frequently if required) weight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team at Bupa Fergusson is comprised of one activity coordinator and three activity assistants who deliver the activity programme over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activity assistants who work in the dementia unit have completed NZQA level-4 dementia modules. The activity team have access to the Bupa diversional therapy (DT) team at head office and attend the regional DT/activities regional study days with training and education including guest speakers.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activity programme is implemented over seven days per week in all three areas.  There is an extremely large open plan central lounge/dining area which is used for activities for rest home and hospital residents.  There are ranges of activities offered.  There are separate rest home/hospital and dementia programmes with activities that meet the needs and preferences of the resident groups; however, some activities are integrated such as entertainment, as observed on the day of audit.  Variations to the group programme are made known to the residents.  Residents may choose to participate in any group programme.  Individual programmes are delivered to residents in their rooms when they are unable to or choose not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The group programme covers physical, cognitive, social and spiritual needs.  There are regular visiting entertainers and community groups.  Targeted group programmes are offered as appropriate to meet the needs of subsets of residents.  There is a weekly Catholic church service and some residents attend church services in the community.  Residents can go on outings using the service’s van. Some rest home residents choose to use alternative transport arrangements to attend community interests.  A caregiver accompanies the activity person on outings.  There is a designated van driver.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activity programme through the bi-monthly resident meeting and resident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satisfied with the activities programmes on offer.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occurs.  Written evaluations reviewed described the resident’s progress against the residents identified goals.  Short-term care plans for short-term needs are evaluated and either resolved or added to the long-term care plan as an ongoing need. The six-monthly multidisciplinary review involves the RN, GP, activities staff, physiotherapist (if involved) and resident/family.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registered nurses identified that the service has access to a wide range of support either through the GP, Bupa specialists or contracted allied services. YPD residents are assisted to access community groups and health services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Chemicals are supplied by an external contractor and stored securely throughout the facility when not in use.  Appropriate policies are available along with chemical product safety charts.  Education on hazardous substances occurs at orientation and is included in in-service training.  There is appropriate signage throughout regarding chemical storage and hazards.  There is personal protective equipment available for use by staff and this was in use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16 November 2017.  The facility employs a full-time maintenance manager. There are proactive and reactive maintenance management plans in place.  The grounds and gardens are maintained by a qualified gardener who assists with maintenance.  Contracted providers test equipment.  Electrical testing of non-hard wired equipment was last conducted on 11 March 2016.  Medical equipment requiring servicing and calibration was last conducted on 6 July 2016.  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 facility has a van available for transportation of residents.  Those transporting residents are designated drivers.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for residents.  Some rooms have a shared ensuite.  Separate visitor and staff toilet facilities are available.  Water temperatures are monitored and temperatures are maintained at or below 45 degrees Celsius.  Fixtures fittings and flooring are appropriate and toilet/shower facilities are constructed for ease of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Walking frames, wheelchairs and hoists can be manoeuvred around the bed within the rooms, if required.  Residents requiring transportation between rooms or services can be moved from their room either by trolley or by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lounges throughout the facility and combined lounge/dining rooms.  Residents can move freely.  Activities occur mainly in the large rest home/hospital combined living/dining area.  There are quiet areas if people wish to speak privately.  Activities in the dementia unit occur in the lounge.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and secure garden areas in the dementia unit with seating and shade provided, creating a “loop” walkway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household staff managed by the full-time household supervisor cleans the facility.  The household staff have access to the appropriate equipment and chemicals.  Cleaning equipment and cleaning chemicals are stored securely when not in use.  Laundry services are completed on site.  Internal audits are completed to monitor performance.  Household staff receive training at orientation and through the in-service programme.  There are policies in place to guide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The facility has an annual emergency procedure inspection training around the site.  Emergencies, first aid and CPR are included in the mandatory in-service programme.  There is a first aid trained staff member on every shift.  The facility has an approved fire evacuation plan and fire drills occur six-monthly.  The last fire evacuation drill occurred on 28 February 2017.  Smoke alarms, sprinkler system and exit signs are in place.  The service has alternative gas facilities for cooking in the event of a power failure, with a backup system (generator) for emergency lighting and battery backup.  There are civil defence kits in the facility and stored water.  Call bells are evident in residents’ rooms, lounge areas and toilets/bathrooms.  The facility is secured at night and security patrols are conducted by a security firm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light and airy and able to be ventilated by opening external windows and doors.  There is overhead electric heating with some heat pumps located in public areas.  Internal temperatures are monitored and regulated by the maintenance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The infection control officer is a registered nurse (CM) and she is responsible for infection control across the facility.  The committee and the Bupa governing body in conjunction with Bug Control, is responsible for the development of the infection control programme and its review.  A lower north/southern regional infection control meeting addresses infection control issues across the organisation.  The infection control programme is well established at Bupa Fergusson. The quality/infection control committee consists of a cross-section of staff and there is external input as required from general practitioners, and local community laboratory. In October 2016, a gastro outbreak and in January/February 2017 a suspected respiratory outbreak, was evidenced to be well managed with the relevant authorities having been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Fergusson.  The infection control (IC) officer has maintained best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coordinating/providing education and training to staff. The orientation package includes specific training around hand washing and standard precautions.  Infection control training was last provided October 2016.</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received education by an external provider to enhance her skills and knowledge. The infection control officer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A number of toolbox talks have been provided, including (but not limited to) preventing UTIs and the importance of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local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officer.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statistics are included for benchmarking. Corrective actions are established where infections are above the benchmark.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that states the organisations philosophy to restraint minimisation.  There is a documented definition of restraint and enablers, which is congruent with the definition in NZS 8134.0.  Currently the service has four residents on five restraints (one bedrail and four lap belts) and three residents with enablers (two bedrails and one lap belt).  Residents using enablers have voluntarily signed a consent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educator/RN is the restraint coordinator for the facility and has defined responsibilities included the job description.  Bupa has a regional restraint group at an organisation level that reviews restraint practices.  Teleconferences are arranged twice a year and include the restraint coordinators at each of the Bupa facilities.  Only staff that have completed a restraint competency assessment are permitted to apply restraints.  Restraint competencies are completed annually and there is ongoing education including restraint minimisation and challenging behaviours.  Quality and clinical meetings include discussion on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RNs in partnership with the resident and their family/whānau.  Restraint assessments are based on information in the care plan, resident discussions and on observations of the staff.  There is a restraint assessment tool available, which is completed for residents requiring an approved restraint for safety.  Ongoing consultation with the resident and family/whānau was also identified.  A restraint assessment form was completed for the four residents requiring restraint (sighted).  Assessments identify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The approval process includes ensuring the environment is appropriate and safe.  Restraint authorisation is in consultation with the consumer (as appropriate) or family/whānau and the facility restraint coordinator.  Overall, each episode of restraint is monitored at pre-determined intervals depending on individual risk to that resident.  Everyone has their own register of restraint or enabler use which provides an auditable record.  Restraint use is used as a last resort in keeping with the Bupa restraint minimisation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considers the areas identified in 2.2.4.1 (a) – (k).  Evaluations occur three-monthly as part of the ongoing reassessment for residents on the restraint register, and as part of their care plan review.  Families are included as part of this review where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Bupa organisation is monitored regularly.  The review of restraint use across the Bupa facilities is discussed at the regional restraint approval group meetings.  Reduction of restraint is an ongoing target at the facility as they constantly work on the reduction of restraint within the facility every year.  The organisation and facility are proactive in minimising restraint.  Restraint education and training programme is in place, which includes restraint competencies.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17"/>
        <w:gridCol w:w="1280"/>
        <w:gridCol w:w="5918"/>
        <w:gridCol w:w="3164"/>
        <w:gridCol w:w="1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medication management policy outlines the policies and practices to be followed in relation to medication management.  Staff interviewed who administer medication, could describe safe medication management and administration practices.  Medication rounds observed in the hospital and dementia units were completed as per policy and procedure.  However, this was not observed during the lunchtime medication round in the rest home. The medication fridge temperatures are required to be checked and recoded daily. This was evidenced to be completed in the hospital and dementia unit.  However, medication fridge temperatures had not been consistently recorded in the rest home.  Medication was not evidenced to have been given as prescribed for one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Medication was not evidenced to be administered as prescribed.  A gap of six days was evident in one medication chart where the prescribed dose of anticoagulant was not evidenced to have been administered. (ii)Temperature recordings for the medication fridge in rest home were not evidenced to be recorded daily. (iii) A medication trolley was observed left unattended and unlocked in the rest home dining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 is documented as administered as prescribed.  (ii) Ensure fridge temperature monitoring is conducted as per policy. (iii) Ensure medication trolleys are not left unlocked or unattended.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developed by the registered nurse and were based on information gathered through the assessment process.  Nine of eleven care plans documented all the support needs in detail.  However, one rest home resident did not have the management of complex partial seizures documented in the care plan.  A management care plan was documented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documented for the use of a restraint or an enabler, which included the risk factors associated with the use of the restraint or enabler and the required frequency of monitoring when in use. However, one hospital resident did not have a care plan documented for the use of an enabler.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did not have the use of an enabler (bed rail) documented in the care plan; and</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resident did not have a care plan documented for the management of complex partial seizures.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care plans are documented for all assessed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all wounds, however not all wound care documentation was fully completed or updated.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eight rest home and two of nine hospital wound assessment and treatment plans did not evidence that the wounds had been reviewed in the prescribed timeframe; and (ii) In the rest home, one of eight initial wound assessments did not document the classification (stage) of pressure injury and two of eight wound assessments did not document the classification of skin tear as per Bupa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wounds are reviewed within the prescribed timeframe; and (ii) Ensure the classification of wounds is documented on wound assessment forms as per Bupa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762"/>
        <w:gridCol w:w="8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The service continues to collect data to support the implementation of corrective action plans.  A number of corrective actions were sighted around clinical actions being above the benchmark across all three areas.  Corrective actions were evaluated for effectiveness.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Fergusson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Fergusson is active in analysing data collected monthly, around accidents and incidents, infection control, restraint etc.  As a result of quality data collected, the clinical manager feeds back monthly to staff at handover and staff meetings arising and identified trends or issues.  A number of corrective actions were sighted around clinical actions being above the benchmark across all three areas.  For example, the service developed a QI-CAP (quality indicator- corrective action plan) when pressure injuries were above the benchmark in June 2016 in the hospital.  Strategies (including care strategies) were reviewed for individual residents, amended as needed and evaluated for effectiveness.  There is a RN appointed as wound nurse liaison for the facility. The wound nurse liaises with the manager to ensure adequate supply of wound dressing products and provides best practice initial advice on wound management and provides education to staff on wound management.  There is also a HVH DHB wound specialist available for advice &amp; support for any wound management issues.  The service had no further PIs in July and ongoing strategies reviewed in August.  Any identified common themes around incidents/infections etc. results in further education, toolbox sessions and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Fergusson Rest Home &amp; Hospital</w:t>
    </w:r>
    <w:bookmarkEnd w:id="58"/>
    <w:r>
      <w:rPr>
        <w:rFonts w:cs="Arial"/>
        <w:sz w:val="16"/>
        <w:szCs w:val="20"/>
      </w:rPr>
      <w:tab/>
      <w:t xml:space="preserve">Date of Audit: </w:t>
    </w:r>
    <w:bookmarkStart w:id="59" w:name="AuditStartDate1"/>
    <w:r>
      <w:rPr>
        <w:rFonts w:cs="Arial"/>
        <w:sz w:val="16"/>
        <w:szCs w:val="20"/>
      </w:rPr>
      <w:t>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