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Oxford Court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Oxford Court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Oxford Court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2017</w:t>
      </w:r>
      <w:bookmarkEnd w:id="7"/>
      <w:r w:rsidRPr="009418D4">
        <w:rPr>
          <w:rFonts w:cs="Arial"/>
        </w:rPr>
        <w:tab/>
        <w:t xml:space="preserve">End date: </w:t>
      </w:r>
      <w:bookmarkStart w:id="8" w:name="AuditEndDate"/>
      <w:r w:rsidR="00A4268A">
        <w:rPr>
          <w:rFonts w:cs="Arial"/>
        </w:rPr>
        <w:t>17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Oxford Court is one of four age care facilities owned by Hurst Lifecare Limited.  The service provides care for up to 50 residents at hospital (geriatric and medical) and rest home level of care with 48 residents living at the facility at the time of the audit.</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service continues to be managed by an experienced general manager (GM) who is a registered nurse and has been in the role for seven years.  The GM is supported by a care manager and the national quality advisor.  Staff turnover is reported as low.</w:t>
      </w:r>
    </w:p>
    <w:p w:rsidRPr="00A4268A">
      <w:pPr>
        <w:spacing w:before="240" w:line="276" w:lineRule="auto"/>
        <w:rPr>
          <w:rFonts w:eastAsia="Calibri"/>
        </w:rPr>
      </w:pPr>
      <w:r w:rsidRPr="00A4268A">
        <w:rPr>
          <w:rFonts w:eastAsia="Calibri"/>
        </w:rPr>
        <w:t xml:space="preserve">There are well developed systems that are structured to provide appropriate quality care for residents.  Implementation is supported through the organisations quality and risk management programme that is individualised to Oxford Court.  A comprehensive orientation and in-service training programme that provides staff with appropriate knowledge and skills to deliver care and support is in place.  This audit has identified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 policy on open disclosure is in place. There is evidence that residents and family are kept informed.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Quality and risk management processes continue to be well maintained, reflecting the principals of continuous quality improvement.  Quality goals are documented for the service and organisational goals are embedded.  Corrective action plans are implemented where opportunities for improvement are identified.  A robust health and safety programme is in place, which includes a risk management plan, incident and accident reporting and health and safety processes.  Residents receive appropriate services from suitably qualified staff.  Human resources are managed in accordance with good employment practice, meeting legislative requirements.  An orientation programme is in place for new staff.  Ongoing education and training for staff is in place.  Registered nursing cover is provided 24 hours a day, 7 days a week.  There are adequate numbers of staff on duty to ensure residents are safe.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implemented an electronic system for managing all resident records.  A registered nurse assesses and develops the care plan documenting support, needs, goals and outcomes with the resident and/or family/whānau input.  Care plans reviewed demonstrated service integration and had been evaluated three-monthly.  Resident files included review by the general practitioner, specialist and allied health services.   </w:t>
      </w:r>
    </w:p>
    <w:p w:rsidRPr="00A4268A" w:rsidP="00621629">
      <w:pPr>
        <w:spacing w:before="240" w:line="276" w:lineRule="auto"/>
        <w:rPr>
          <w:rFonts w:eastAsia="Calibri"/>
        </w:rPr>
      </w:pPr>
      <w:r w:rsidRPr="00A4268A">
        <w:rPr>
          <w:rFonts w:eastAsia="Calibri"/>
        </w:rPr>
        <w:t xml:space="preserve">Two diversional therapists (in training) coordinate the activity programme for the rest home and hospital residents.  The programme includes community visitors and outings, entertainment and activities that meet the individual recreational, physical, cultural and cognitive abilities and preferences for each resident group.  Residents are encouraged to maintain links with community groups.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medication competencies and annual education.  The service has implemented an electronic medication system.  The general practitioner reviews medications three-monthly.  </w:t>
      </w:r>
    </w:p>
    <w:p w:rsidRPr="00A4268A" w:rsidP="00621629">
      <w:pPr>
        <w:spacing w:before="240" w:line="276" w:lineRule="auto"/>
        <w:rPr>
          <w:rFonts w:eastAsia="Calibri"/>
        </w:rPr>
      </w:pPr>
      <w:r w:rsidRPr="00A4268A">
        <w:rPr>
          <w:rFonts w:eastAsia="Calibri"/>
        </w:rPr>
        <w:t xml:space="preserve">Resident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and reactive and preventative maintenance occurs.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Oxford Court has restraint minimisation and safe practice policies and procedures in place.  Staff receive training in restraint minimisation and challenging behaviour management.  The service maintains a restraint-free environment and no residents are currently utilising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The service benchmarks infection control data against other villages within the group.</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have been implemented and residents and their family/whānau have been provided with information on admission.  Complaint forms are available at the entrance foyer.  Staff are aware of the complaints process and to whom they should direct complaints.  A complaints folder has been maintained.  There have been three complaints documented since previous audit.  All complaints have been resolved.  Systems and processes are in place to ensure that any complaint received is managed and resolved appropriately.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are informed of changes in health status and incidents/accidents. Incidents are all documented on VCare and includes an area to identify if family are informed.  A review of incident forms and progress notes identify family have been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also stated they were welcomed on entry and were given time and explanation about services and procedures. Resident/relative meetings occur monthly and the management team have an open-door policy.  Relative’s newsletters occur quarterly.  A family satisfaction survey was last completed 2016 with a 95% positive outcome.  An organisational analysis of family survey results in 2016 identified that Oxford Court scored the highest in relation to communication.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Oxford Court Lifecare is a part of the Hurst Lifecare Limited.  The service provides care for up to 50 residents at hospital (geriatric and medical) and rest home level care.  On the day of the audit, there were 48 residents in total (13 residents at rest home level and 35 residents at hospital level).  All rooms are dual purpose.  There was one resident under a long-term support chronic health conditions contract in the hospital and all other residents were under the Aged Residential Care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general manager who is a registered nurse and has been in the role for seven years.  The GM is supported by an experienced care manager. </w:t>
            </w:r>
          </w:p>
          <w:p w:rsidR="00EB7645" w:rsidRPr="00BE00C7" w:rsidP="00BE00C7">
            <w:pPr>
              <w:pStyle w:val="OutcomeDescription"/>
              <w:spacing w:before="120" w:after="120"/>
              <w:rPr>
                <w:rFonts w:cs="Arial"/>
                <w:b w:val="0"/>
                <w:lang w:eastAsia="en-NZ"/>
              </w:rPr>
            </w:pPr>
            <w:r w:rsidRPr="00BE00C7">
              <w:rPr>
                <w:rFonts w:cs="Arial"/>
                <w:b w:val="0"/>
                <w:lang w:eastAsia="en-NZ"/>
              </w:rPr>
              <w:t>Hurst Lifecare Limited has an organisational philosophy, which includes a vision and values statement and objectives.  The 2017 quality plan objectives include organisation objectives and facility – specific objectives for Oxford Court.  Objectives are linked to the organisation’s strategies.  The 2017 goal for Oxford Court includes two objectives (i) to support staff to complete NZQA qualifications relevant to their role; (ii) To ensure all RNs at Oxford Court achieve their PDRP.  The 2016 quality plan objectives have been reviewed and updated (sighted).  Some quality objectives from the previous year remain in place as key performance indicators across the organisation.  The organisation has a strategic direction that has been communicated to staff.  The service has a restorative model of care, with a focus on ‘person-centred care’. Staff interviewed could describe this approach to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reports monthly to the board on a variety of management issues.  The current strategic plan and quality and risk management plans have been implemented.  The general manager is also supported by a national quality advisor, who arrived during the day of the audit.  The general manager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implement a comprehensive quality and risk management system. There is increased monitoring and analysis of data collected at a facility and organisational level.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system for document control is in place.  Any new policies or changes to policy are communicated to staff, evidenced in meeting minutes and in interviews with staff. The organisation is in the process of reviewing and updating their internal audits to align with policies and procedures that have been updated.   Oxford Court has implemented a number of quality initiatives since previous audit and have been piloting two quality initiatives for the organisation which include (i) implementation of medi-map and (ii) implementation of VCare.  Both have been successfully implemented at Oxford Court with on-going review and monitoring.</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management system include (but are not limited to): monitoring falls, medication errors, restraint use, pressure areas, infections, wounds and resident satisfaction.  Monthly reports submitted to the national quality advisor and the chief executive officer provide a coordinated process between service level and the organisation.  There are monthly accident/incident reports that break down the data collected across rest home and hospital residents and staff incidents/accidents. Monthly benchmarking occurs throughout the group. Clinical and non-clinical indicators are monitored and facility performance is measured against these. Benchmarking reports are generated throughout the year to review performance over a 12-month period. Annual reports are completed at a facility and organisational level.  Oxford Court 2016 annual report were sighted for risk management, medication errors, infection control, restraint, H&amp;S and complaints.  Falls prevention strategies are in place that includes the analysis of falls incidents and the identification of interventions on a case-by-case basis to minimise future falls. Falls prevention is a topic of the quality and staff meetings. Benchmarking and internal audit data demonstrate that Oxford Court continue to achieve good standards of care and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in place with strategies implemented to promote staff wellness.  The health &amp; safety committee meets as part of the quality committee monthly. In January 2017, facility again achieved tertiary status with the ACC Workplace safety management programme for a further two years.  Infections and health and safety matters, such as staff accidents are discussed at the meeting and then fed back to the monthly staff meetings.  Resident meetings also occur monthly.  A family satisfaction survey was last completed with a 95% positive outcome.  An organisational analysis of family survey results in 2016 identified that Oxford Court scored the highest in relation to communication, personnel, food, activities, communal and personal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RN meetings reflect a discussion of incident stats and analysis.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resident related incident reports for February 2016 were reviewed on VCare.  All reports and corresponding resident files reviewed evidence that appropriate clinical care has been provided following an incident and where appropriate families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were reviewed (care manager, two caregivers, one RN and diversional therapist) included evidence of the recruitment process, signed employment contracts, police vetting and completed orientation programmes and annual performance appraisals. Staff turnover was reported as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The general manager is currently working with Careerforce to develop their orientation programme further to align with NZQA  Certificate in Health and Wellbeing.  Staff interviewed were able to describe the orientation process and stated that they believed new staff were adequately orientated to the service.  There are currently 19 of the 24 caregivers that have completed or in the process of completing a national caregiving qualification.  </w:t>
            </w:r>
          </w:p>
          <w:p w:rsidR="00EB7645" w:rsidRPr="00BE00C7" w:rsidP="00BE00C7">
            <w:pPr>
              <w:pStyle w:val="OutcomeDescription"/>
              <w:spacing w:before="120" w:after="120"/>
              <w:rPr>
                <w:rFonts w:cs="Arial"/>
                <w:b w:val="0"/>
                <w:lang w:eastAsia="en-NZ"/>
              </w:rPr>
            </w:pPr>
            <w:r w:rsidRPr="00BE00C7">
              <w:rPr>
                <w:rFonts w:cs="Arial"/>
                <w:b w:val="0"/>
                <w:lang w:eastAsia="en-NZ"/>
              </w:rPr>
              <w:t>A completed in-service calendar for 2016 exceeded eight hours annually.  There is a structured education programme for all staff.  Competencies (hand hygiene, chemical, fire, hoist, H&amp;S, IC and medication) are completed annually for staff and the register identifies these are up to date. The general manager and registered nurses attend external training including conferences, seminars and education sessions with the local DHB.  Seven of the current twelve RNs are interRAI trained with more scheduled for training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Oxford Court Lifecare has a weekly roster in place which provides sufficient staffing cover for the provision of care and service to residents. All beds are dual-purpose and the roster has the flexibility to be adjusted depending on the current needs of the residents.  There are at least two registered nurses on a morning and afternoon shift (one each floor) and one RN at night.  In addition, the general manager (RN) and care manager (RN) also work five days a week.  Extra RNs are rostered for education and completing interRAI.  There are at least two caregivers on each floor each morning and afternoon shift with one caregiver rostered at night with the RN.  Caregivers advise that sufficient staff are rostered on for each shift.  All registered nurses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managed appropriately in line with required guidelines and legislation.  A computerised medication management system has been implemented.  Ten medication charts reviewed met legislative prescribing requirements.  RNs responsible for the administering of medication complete annual medication competencies and attend annual medication education.  Senior caregivers who are second checkers have annual medication competencies.  The service uses individualised robotic packs for regular medications and blister packs for PRN medications.  Medications are checked on delivery against the medication chart by the RN and pharmacist.  Medication trolley contents were all within expiry dates and all eye drops were dated on opening.  There were no residents self-medicating.  Medication administration practice was observed to be compliant.  ‘As required’ medications have the date and time of administration recorded on the signing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cooks and four kitchen hands.  There is a five-weekly seasonal menu that had been designed and reviewed by a dietitian.  The cook receives a resident dietary profile for all new admissions and is notified of dietary changes as needed and/or following the three-monthly review.  Specific cultural preferences were met.  Resident likes, dislikes and dietary preferences were known.  Food is delivered in hot boxes to each area.  Staff were observed sitting with the residents when assisting them with meals.  The service is well equipped.  There is a food control plan in place and monitored by the Dunedin city council and the service has recently received an A grade certificate from the DCC December 2016.  The chiller and freezer are monitored daily.  Food temperatures are monitored twice daily and recorded.  All foods were date labelled.  A cleaning schedule is maintained.  Feedback on the service was received from resident and staff meetings, surveys and audits.  Staff have been trained in safe food handling and chemical safety.  Residents interviewed spoke positively about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registered nurse initiates a review and if required a GP visit.  Faxes to the GPs for residents change in health status were sighted in the resident’s files in the Vcare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adequately stocked for use.  Wound assessment, treatment and evaluations including frequency for 11 wounds facility wide, were linked to the VCare care plans.  Pressure injury prevention and interventions and updates/evaluations were documented in the long-term care plans in VCare.  The RNs interviewed stated they have access to an external wound care specialist as required.  The GP reviews the wounds three-monthly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four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pressure and pulse, food and fluid charts, restraint and behaviour charts.  These are easily accessible in the VCare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provide an activities programme over six days each week Monday-Saturday.  There are two diversional therapists (in training), between them they work 63 hours a week.   The programme is planned weekly and residents receive a personal copy of planned activities in the weekly newsletter.  One of the residents prepares the word search for the newsletter.  Activities planned for the day were displayed on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diversional therapy plan is developed for each individual resident, based on assessed needs.  Residents are encouraged to join in activities that were appropriate and meaningful and are encouraged to participate in community activities.  The service has a van that is used for resident outings.  Residents were observed participating in activities on the days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resident’s care requirements changed.  Care plan evaluations reviewed were comprehensive, related to each aspect of the care plan and recorded the degree of achievement of goals and interventions.  The care plan reviewed for a resident who had deteriorated and was end of life was updated to reflect current needs.  Short-term care requirements for residents are incorporated in the VCare long-term personal care plan and were dated and signed electronically.  Care plans are evaluated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31 August 2017. Regular and reactive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Monthly infection data is collected for all infections based on signs and symptoms of infection and monitoring also occurs of antibiotic prescribing.  Individual resident infection forms are completed which includes signs and symptoms of infection, treatment, follow up, review and resolution.  Surveillance of all infections was entered on to a monthly facility infection summary and staff informed.  The data has been monitored and evaluated monthly and annually at facility level, including benchmarking within the group and against national aged care indicators.  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and this was evidenced in the restraint policy and interviews with staff and management.  Restraint minimisation is overseen by a restraint coordinator who is the general manager.  Restraint minimisation is discussed at quality and staff meetings.  Annual review of restraint was completed in December 2016.  The restraint minimisation policy includes restraint/enabler procedures.  There is a documented definition of restraint and enablers which is congruent with the definition in the standard.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maintain its restraint-free environment and no residents require enablers.  Staff are trained in restraint minimisation and de-escalation.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Oxford Court Rest Home Limited</w:t>
    </w:r>
    <w:bookmarkEnd w:id="58"/>
    <w:r>
      <w:rPr>
        <w:rFonts w:cs="Arial"/>
        <w:sz w:val="16"/>
        <w:szCs w:val="20"/>
      </w:rPr>
      <w:tab/>
      <w:t xml:space="preserve">Date of Audit: </w:t>
    </w:r>
    <w:bookmarkStart w:id="59" w:name="AuditStartDate1"/>
    <w:r>
      <w:rPr>
        <w:rFonts w:cs="Arial"/>
        <w:sz w:val="16"/>
        <w:szCs w:val="20"/>
      </w:rPr>
      <w:t>17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