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Tasman Rest Home and Dementia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Tasman Rest Home and Dementia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Tasman Rest Home &amp;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2017</w:t>
      </w:r>
      <w:bookmarkEnd w:id="7"/>
      <w:r w:rsidRPr="009418D4">
        <w:rPr>
          <w:rFonts w:cs="Arial"/>
        </w:rPr>
        <w:tab/>
        <w:t xml:space="preserve">End date: </w:t>
      </w:r>
      <w:bookmarkStart w:id="8" w:name="AuditEndDate"/>
      <w:r w:rsidR="00A4268A">
        <w:rPr>
          <w:rFonts w:cs="Arial"/>
        </w:rPr>
        <w:t>8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(DCNZ) is the parent company of Tasman Rest Home and Dementia Care.  The service provides rest home, hospital, dementia and psychogeriatric level care for up to 53 residents.  On the day of audit there were 51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operation manager and clinical manager are supported by owners/directors, clinical director, quality systems manager, mental health nurse- education coordinator, project manager and national clinical manager.  Residents and relatives interviewed commented positively on the high standard of care received at Tasman rest home and dementia care.      </w:t>
      </w:r>
    </w:p>
    <w:p w:rsidRPr="00A4268A">
      <w:pPr>
        <w:spacing w:before="240" w:line="276" w:lineRule="auto"/>
        <w:rPr>
          <w:rFonts w:eastAsia="Calibri"/>
        </w:rPr>
      </w:pPr>
      <w:r w:rsidRPr="00A4268A">
        <w:rPr>
          <w:rFonts w:eastAsia="Calibri"/>
        </w:rPr>
        <w:t xml:space="preserve">This unannounced audit identified an area for improvement around aspects of medicine management and registered nurse coverage. </w:t>
      </w:r>
    </w:p>
    <w:p w:rsidRPr="00A4268A">
      <w:pPr>
        <w:spacing w:before="240" w:line="276" w:lineRule="auto"/>
        <w:rPr>
          <w:rFonts w:eastAsia="Calibri"/>
        </w:rPr>
      </w:pPr>
      <w:r w:rsidRPr="00A4268A">
        <w:rPr>
          <w:rFonts w:eastAsia="Calibri"/>
        </w:rPr>
        <w:t xml:space="preserve">The service has maintained a continuous improvement rating around staff education.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implemented to support residents’ rights, communication and complaints management.  Governance provide initial and ongoing support for families through meetings, newsletters, education seminars and support groups.  Complaints and concerns have been managed appropriately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  Meetings are held to discuss quality and risk management processes.  Residents/family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An education and training programme has been implemented with a current training plan in place for 2017.  Appropriate employment processes are adhered to and all employees have an annual staff appraisal completed.  A roster provides sufficient and appropriate caregiver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the resident and develops the care plan documenting goals and outcomes with the resident (as appropriate) and/or family/whānau input.  Care plans viewed in resident records demonstrated service integration and were reviewed at least six monthly.  Resident files included the general practitioner, specialist and allied health notes.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and complete annual education and medication competencies.  The medicine charts reviewed meet prescribing requirements and were reviewed at least three monthly.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rest home, hospital, dementia and psychogeriatric level of care residents.  The programme includes community visitors and outings, entertainment and activities that meet the individual recreational, physical, cultural and cognitive abilities and preferences for each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 food preferences and dietary requirements are identified at admission and all meals are cooked on site.  Food, fluid, and nutritional needs of residents are provided in line with recognised nutritional guidelines and additional requirements/modified needs were being met.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Both buildings hold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Tasman rest home and dementia care has restraint minimisation and safe practice policies and procedures in place.  Staff receive training around restraint minimisation and the management of challenging behaviour.  No residents had enablers and two residents at psychogeriatric level of care had T-belt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and policies and procedures are in place to minimise the risk of infection to residents, service providers and visitors.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Information about complaints is provided on admission.  Interview with residents (one rest home and one hospital level of care) and relatives confirmed an understanding of the complaints process.  There is an up to date on-line complaint register.   There have been six complaints (verbal and written) within the last year complaints.  All complaints reviewed had noted investigation, timeframes and corrective actions, including letters of acknowledgement.  Management operate an open-door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(one hospital, two psychogeriatric and one dementia level of care) stated they were welcomed on entry and given time and explanation about the levels of care provided and services and procedures.  There is documented evidence of full and frank open disclosure regarding changes to their relative’s health including incident/accidents, medication changes, GP visits and infections.  Relatives interviewed confirmed that they are notified of any changes in their family member’s health status.  .  Relatives receive newsletters to keep them informed on facility matters, activities and topics of interest.  The company hold family support groups for new families that is facilitated by an independent facilitator.  The families also receive an invitation to orientation for families sessions.  Families are offered to attend a three week “share the journey” course. A focus group meeting with family occurs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Tasman rest home and dementia care provides care for up to 53 residents.  The service is divided into smaller home-like care units (i) one 15 dual-purpose hospital/rest home beds, (ii) a 12-bed psychogeriatric (PG) care unit, (iii) two separate dementia care units with 13 beds in Ata care home and 12 beds in Rangi care home.  The service is in two separate buildings with a walkway between them. The hospital and PG care units in one and the dementia care units in the other.  On the day of audit, there were 51 residents.  There were 11 hospital residents, three rest home residents, 24 residents across the two dementia care units and 12 residents in the psychogeriatric care unit.   All residents were either under the ARC or the ARHSS contract.</w:t>
            </w:r>
          </w:p>
          <w:p w:rsidR="00EB7645" w:rsidRPr="00BE00C7" w:rsidP="00BE00C7">
            <w:pPr>
              <w:pStyle w:val="OutcomeDescription"/>
              <w:spacing w:before="120" w:after="120"/>
              <w:rPr>
                <w:rFonts w:cs="Arial"/>
                <w:b w:val="0"/>
                <w:lang w:eastAsia="en-NZ"/>
              </w:rPr>
            </w:pPr>
            <w:r w:rsidRPr="00BE00C7">
              <w:rPr>
                <w:rFonts w:cs="Arial"/>
                <w:b w:val="0"/>
                <w:lang w:eastAsia="en-NZ"/>
              </w:rPr>
              <w:t>Tasman rest home and dementia care is one of nine facilities operated by Dementia Care NZ Limited (DCNZ).  The nine aged care facilities throughout NZ provide rest home, hospital, medical, dementia and psychogeriatric level care.  There is a corporate structure in place, which includes two directors and a governance team of managers.   There is a strong focus within the organisation to promote independence, to value the lives of residents and staff and this is supported by the vision and values statement of the organisation.  DCNZ has an overall 2016 – 2017 business/strategic plan based on “our services”, “our people”, “our environment” and the “sharing of experiences”.  The business plan is regularly reviewed.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Staff are supported with the provision of staff support services (interviewed).  He visits the facility weekly and readily available to staff for debriefing sessions.   Family support groups are held monthly with an independent facilitator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(non-clinical) of Tasman has been in the role since November 2015 and has previous experience in business management in tertiary services.  The operations manager reports to the DCNZ operations management leader.  He is supported by an organisational quality systems manager, education coordinator, project manager and owners/directors at head office.  The clinical manager/registered nurse has been in aged care with DCNZ since 2009. The clinical manager has completed a post graduate certificate in the last year, attended a wound conference.The operations manager has attended at least eight hours of professional development including health and safety transition training and has almost completed the dementia unit standards. Both managers attend DCNZ seminars.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Tasman rest home and dementia care.  The quality programme is managed by the operations manager and clinical manager.  A quality systems manager for the organisation oversees the quality programme ensuring all aspects of quality management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there is discussion about quality data at various facility meetings including monthly quality improvement meetings and clinical meetings.  There is documented evidence in meeting minutes of quality data, trends and analysis.  Minutes and the staff monthly bulletin (displayed on the staff noticeboard) contain topical information and quality data.  Organisational policies meet all current requirements and are reviewed at head office. Staff have access to the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The operations manager completes environmental and non-clinical audits.  The clinical manager undertakes all clinical audits.  The internal audit programme continues to be implemented and all issues identified had corrective action plans and resolutions.  The quality systems manager completes compliance site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welfare guardian welfare surveys were completed in October 2016.  Results were published in the family newsletter.  Quality improvements raised and implemented were an increase in activities and ensuring clothing is labelled to prevent missing clothing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committee which comprises of a health and safety officer, health and safety representative, BPSD (behavioural/psychological symptoms of dementia) advisor, manual handling advisor, restraint coordinator and care staff.  All committee members have completed external health and safety education.  Health and safety objectives for 2017 are known by staff and include a reduction of staff incidents to 20% from last year rates relating to resident’s behaviour and from environment .   The service has tertiary level of workplace safer management practice WSMP).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A falls map has recently been installed in the staff room to identify and monitor time and location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An on-line incident/accident register is maintained.  The clinical manager investigates accidents and near misses and an analysis of incident trends occurs.  There is a discussion of incidents/accidents at quality improvement and clinical meetings including actions to minimise recurrence.  A registered nurse conducts clinical follow-up of residents.  Eleven incident forms reviewed (six falls psychogeriatric care, five falls dementia level of care) demonstrated that all appropriate clinical follow-up and investigation had occurred following incidents.  Discussions with the operation manager confirmed that there is an awareness of the requirement to notify relevant authorities in relation to essential notifications.  One section-31 incident notification form (sighted) was completed for a stage three pressure injury.  The DHB had been notified of an absconding resident in August 2016.  Appropriate monitoring had been put in place including a re-assessment of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Current practising certificates were sighted.  Six staff files were reviewed (one clinical manager, two registered nurses, one home manager, one caregiver and one cook) and there was evidence that reference checks and/or police vetting were completed before employment.  Annual staff appraisals were evident in all staff files reviewed.  The service has a comprehensive orientation programme in place that provides new staff with relevant information for safe work practice.  Completed orientation was evidenced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has been completed and the plan for 2017 is being implemented.  The service identified that not all staff were able to attend education sessions and developed a workbook which is evaluated. The clinical manager and registered nurses are able to attend external training, including sessions provided by the local DHB and through the organisation.  Eight hours of staff development or in-service education has been provided annually. There are 23 caregivers employed to work in the dementia units.  Seventeen staff have completed the dementia unit standards.  Three staff are progressing though the standards and three other staff have been employed less than three months.  All RNs have completed first aid training.  The organisation has an education coordinator who is a registered psychiatric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for each care unit were sighted and there are sufficient care staff on duty to meet the resident needs and resident safety on different shifts.  There is a full-time plus on-call operation manager and clinical manager.  Each care unit has a home manager (senior caregiver) on morning shift Monday to Sunday in addition to the care staff on the roster.  Interviews with staff, residents and family members confirmed there are sufficient staff to meet the needs of residents.  The service does not have a RNs on duty based in the hospital from 4.30pm-8.30am.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who administer medications have been assessed for competency on an annual basis.  Registered nurses complete syringe driver training.  Education around safe medication administration has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who have completed medication competency are able to check and administer medications.  There were no standing orders on the day of audit.  There were no residents self-medicating on the day of audit.  There is an electronic medication documentation system, administration records and checking of medications on delivery. All medications are stored safely.  The medication fridge is monitored daily.  Eye drops are dated on opening.  There were three expired medications at time of audit.  There is a prescribing discrepancy for the time of administration for insulin.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(two rest home, two hospital, four dementia care and four psychogeriatric care) were reviewed on the electronic medication system.  All medication charts had photo identification and identified an allergy status.   The GP had reviewed the medication charts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Tasman Rest Home and Dementia Care are prepared and cooked on site by qualified cooks.  The cooks are supported by afternoon kitchenhands.  All staff have attended food safety and hygiene training.  There is a four-weekly seasonal menu which had been reviewed by a dietitian.  Meals are transported in food service trolleys and served from the kitchenette in rest home, hospital, dementia and psychogeriatric care kitchenettes.  Dietary needs are known with individual likes and dislikes accommodated.  Dietary requirements, diabetic, cultural and religious food preferences are met.  Additional or modified foods are also provided by the service.  Special diets include gluten free, vegetarian and low fat/low salt.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were observed assisting residents with their meals and drinks in the hospital, rest home, dementia and psychogeriatric dining rooms.  Resident meetings and surveys, along with direct input from residents, provide resident feedback on the meals and food services.  Residents and family members interviewed were satisfied with the food and confirmed alternative food choices were offered for dislikes.  There are nutritious snacks available in the dementia and psychogeriatric units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 cooked temperatures are monitored daily.  A kitchen cleaning schedule is in place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five current wounds (two ulcers, two facility acquired pressure injuries – stage-two and stage-three and one skin tear).   There is a range of equipment readily available to minimise pressure injury.  Chronic wounds have been linked to the long-term care plans.  There was evidence of wound nurse specialist involvement in the management of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A file review of a new admission with a potential risk of wandering identified that progress notes upon admission documents ‘wandatrack’ pendant in situ and AWOL chart commenced. A 24-hour MD care plan completed on admission with documented interventions for wandering and anxious behaviour.</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pain, challenging behaviour, wounds, restraint, continence and two hourly positioning.  Registered nurses review the monitoring charts and report identified concerns to the GP, nurse practitioner or nurse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qualified diversional therapists (DT), and three trainees who are completing the DT qualification.  The activity team provide a separate activity plan for each home (rest home, hospital, dementia and psychogeriatric) seven days per week.  Activities are held in several locations within the facility.  There is a variety of activities that meets the abilities of all residents.  There is a knitting club and a ‘men’s club’ and they have a tool box available and for those residents who wish to participate in the various garden projects.  Volunteers involved in the activity programme include family, kindergarten children, pet therapy owners and community speakers.  Entertainers attend the home regularly and there are regular outings and drives for all residents.  Residents are supported to attend religious services of their preference.  Special events and festivities are celebrated (staff decorate the facility) and families and staff are invited to attend.  There are alternative activities (one-on-ones, books, word scratch, walks in the gardens and lazy-boy outings in the gardens) provided.  The operations manager interviewed stated there is ‘representational child therapy’ (doll therapy) offered and approved by EPOA.  One resident in the dementia care unit was observed resting comfortably in the lazy-boy chair holding the representational child.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is completed on admission in consultation with the resident/family (as appropriate) and reviewed six monthly.   Residents in the dementia and psychogeriatric care units have a 24-hour multidisciplinary care plan that covers resident activities and behaviours and de-escalation techniques 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can feed back on the activity programme via individual feedback, meetings and surveys.  Residents and relatives interviewed stated they were very happy with the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were evaluated by the RN within three weeks of admission.  Long-term care plans had been reviewed at least six monthly or earlier for any health changes.  The written evaluation documents the resident’s progress against identified goals.  The GP reviews the residents at least three monthly or earlier if required.  Six monthly MDT meetings were evident with resident (as appropriate) and relative consultation.  Ongoing nursing evaluations occur 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that expires 5 July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The infection control nurse has been in the role six years and is supported by an infection control committee of six representatives across the organisation.   Monthly infection data is collected for all infections based on signs and symptoms of infection.   Surveillance of all infections is entered onto a monthly infection summary.  This data is monitored and analysed monthly for trends.  Outcomes and actions are discussed at infection control meetings, quality improvement meetings and other meetings within the facility.  A six-monthly review is completed.  The infection control nurse is supported by the clinical manager and the organization national clinical manager and the clinical director.   There has been one suspected outbreak (unconfirmed) which was communicated to the public health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being restrained and one resident using an enabler (bedrails) during the audit.  Enabler use was voluntary and risks were well assessed and documented in the care plan.  A number of interventions had been implemented to reduce the need for the enabler but the resident continued to feel more comfortable with the enabler in place.  Staff interviews and staff records evidenced guidance has been given on restraint minimisation and safe practice (RMSP), enabler usage, challenging behaviours and de-escalation techniques including activities.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1"/>
        <w:gridCol w:w="1280"/>
        <w:gridCol w:w="3906"/>
        <w:gridCol w:w="3909"/>
        <w:gridCol w:w="18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RN based in the 12-bed psychogeriatric unit 24/7 which is attached to the 15 dual purpose rest home/hospital.  Additionally there is another registered nurse based in the hospital/rest home from 8.30 am until 4.30 pm.  The psychogeriatric unit and rest home/hospital are in the same building in very close proximity.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RN rostered over 24 hours a day and located in the PG wing.  The contract with the local DHB states that the psychogeriatric unit and hospital unit can share a RN between 10.00 pm - 7.00 am only if the service is under 50 beds. There is not always a RN rostered in the hospital as well as the PG unit between 4.30 pm and 8.30am.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RN covers meet the requirements of the ARC and ARHSS contracts.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safely.  Medications are checked on delivery against the medication charts by a RN.  Oral medications had been administered as prescribed.  On day of audit a review of the controlled drug register, medication stock and insulin administration for one resident identified a shortfall in aspects of medicine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three expired medications (two in stock and one in the trolley) on the day of audit. (ii) There is a prescribing discrepancy for time of administration for insulin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medications are checked for expiry dates. (ii) Ensure medication prescription instructions guide staff clearly as to the correct time of administration.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22"/>
        <w:gridCol w:w="1280"/>
        <w:gridCol w:w="2645"/>
        <w:gridCol w:w="84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education programme offered.  Management identified that not all staff were able to attend mandatory training and developed a workbook.  There has been a focus on attendance at identification and interventions for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developed a user-friendly caregiver orientation workbook that includes a self-directed learning package that aligns with the first year of education requirements.  The workbook includes the policy and comprehension questionnaire.  A second-year workbook has been developed to cover the mandatory requirements of the two-yearly training calendar.  Staff receive this workbook at their first annual appraisal.  The education coordinator provides one day training on MAPA (management of actual and potential aggression) for all staff.  The MAPA training is a new version which covers the previous NVCI (non-violent crisis intervention) training.  The service has maintained continuous improvement around staff training.  The effectiveness of the training is completed through the training evaluations and the reduction of behaviour incidents.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Tasman Rest Home and Dementia Care Limited</w:t>
    </w:r>
    <w:bookmarkEnd w:id="58"/>
    <w:r>
      <w:rPr>
        <w:rFonts w:cs="Arial"/>
        <w:sz w:val="16"/>
        <w:szCs w:val="20"/>
      </w:rPr>
      <w:tab/>
      <w:t xml:space="preserve">Date of Audit: </w:t>
    </w:r>
    <w:bookmarkStart w:id="59" w:name="AuditStartDate1"/>
    <w:r>
      <w:rPr>
        <w:rFonts w:cs="Arial"/>
        <w:sz w:val="16"/>
        <w:szCs w:val="20"/>
      </w:rPr>
      <w:t>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