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on the Coast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on the Coast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2017</w:t>
      </w:r>
      <w:bookmarkEnd w:id="7"/>
      <w:r w:rsidRPr="009418D4">
        <w:rPr>
          <w:rFonts w:cs="Arial"/>
        </w:rPr>
        <w:tab/>
        <w:t xml:space="preserve">End date: </w:t>
      </w:r>
      <w:bookmarkStart w:id="8" w:name="AuditEndDate"/>
      <w:r w:rsidR="00A4268A">
        <w:rPr>
          <w:rFonts w:cs="Arial"/>
        </w:rPr>
        <w:t>24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on the Coast provides rest home and hospital (geriatric and medical) level care for up to 44 residents. On the day of the audit there were 39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The village manager is appropriately qualified and experienced and is supported by a nurse manager (registered nurse) who oversees the clinical services. There are quality systems and processes being implemented.  An induction and in-service training programme is in place to provide staff with appropriate knowledge and skills to deliver care.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This audit identified an area for improvement around care plan interventions.    </w:t>
      </w:r>
    </w:p>
    <w:p w:rsidRPr="00A4268A">
      <w:pPr>
        <w:spacing w:before="240" w:line="276" w:lineRule="auto"/>
        <w:rPr>
          <w:rFonts w:eastAsia="Calibri"/>
        </w:rPr>
      </w:pPr>
      <w:r w:rsidRPr="00A4268A">
        <w:rPr>
          <w:rFonts w:eastAsia="Calibri"/>
        </w:rPr>
        <w:t xml:space="preserve">The service is commended for achieving two continual improvement ratings relating to good practice, community involvement, planned activities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Summerset on the Coast provides care in a way that focuses on the individual resident.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on the Coast has an established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 centred care plans and evaluations were completed by the registered nurses within the required timeframes.  Risk assessment tools and monitoring forms were available and implemented.  Resident centred care plans were individualised and reflected the involvement of allied health professionals in the care of the resident.  </w:t>
      </w:r>
    </w:p>
    <w:p w:rsidRPr="00A4268A" w:rsidP="00621629">
      <w:pPr>
        <w:spacing w:before="240" w:line="276" w:lineRule="auto"/>
        <w:rPr>
          <w:rFonts w:eastAsia="Calibri"/>
        </w:rPr>
      </w:pPr>
      <w:r w:rsidRPr="00A4268A">
        <w:rPr>
          <w:rFonts w:eastAsia="Calibri"/>
        </w:rPr>
        <w:t xml:space="preserve">A diversional therapist coordinates and implements an integrated activity programme.  She is supported by a part-time recreational therapist.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are stored safely throughout the facility.  The building has a current warrant of fitness.  Resident bedrooms are spacious and personalised.  There are sufficient numbers of communal toilet/showers.  There was sufficient space to allow the movement of residents around the facility using mobility aids or lazy boy chairs.  The hallways and communal areas were spacious and accessible.  The outdoor areas were safe and easily accessible and provide seating and shade.  The service has implemented policies and procedures for civil defence and other emergencies and six monthly fire drills are conducted.  Housekeeping/laundry staff maintain a clean and tidy environment.  All laundry and linen was completed on-site.  There is plenty of natural light in all rooms and the environment was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policies and procedures around restraint use and use of enablers. Currently there are three residents using restraint and one resident with an enabler.  Staff training around the use of restraint and enablers is provided and staff interviewed understand the philosophy of minimal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(enrolled nurse) is responsible for coordinating and providing education and training for staff.  The infection control officer and infection control committee have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3"/>
        <w:gridCol w:w="1280"/>
        <w:gridCol w:w="96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(four caregivers, two registered nurses (RN), and one diversional therapist) confirmed their familiarity with the Health and Disability Commissioner (HDC) Code of Health and Disability Services Consumers’ Rights (the Code).  Eight residents (four rest home and four hospital) and three relatives (three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seven resident files reviewed (three rest home including one respite care and four hospital level of care including one respite care).  Four caregivers and two registered nurses interviewed confirm consent is obtained when delivering cares.  Resuscitation orders had been appropriately signed by the resident and general practitioner.  The service acknowledges the resident is for resuscitation in the absence of a signed directive by the resident.  The general practitioner (GP) had discussed resuscitation with families/enduring power of attorney (EPOA)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(three hospital) identifies that the service actively involves them in decisions that affect their relative’s lives.  Five long-term admission agreements and two short-term admission agreements (for the respite residents) were sighted and had been signed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Relatives and friends are encouraged to be involved with the service and care.  Residents, relatives and staff enjoyed a village health promotion day coordinated by nursing students.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There is a complaint register that included relevant information regarding the complaint.  The number of complaints received each month is reported monthly to staff via the various meetings.  Three complaints were received in 2016.  All the complaints documentation included follow-up letters, investigations and resolutions that had been completed within the required timeframes.  Corrective actions have been implemented and any changes required were made because of the complaint.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were well informed about the Code of Rights.  Monthly resident meetings provide the opportunity to raise concerns.  An annual residents/relatives survey is completed.  Advocacy and Code of Rights information is included in the information pack and is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and a code of conduct are signed by staff at commencement of employment.  Contact details of spiritual/religious advisors are available.  Residents and relatives interviewed reported that residents can choose to engage in activities and access community resources.  There is an elder abuse and neglect policy.  Staff education and training on abuse and neglect last occurred in February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At the time of the audit there were no residents that identified as Māori.  Links are established with local Iwi.  Staff interviewed could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family/whānau confirms values and beliefs are considered.  Residents interviewed confirm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nurse manager and caregivers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 that they feel supported by the village manager and nurse manager.  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improvement programme that includes performance monitoring against clinical indicators and benchmarking against like services within the group is undertaken.  There is evidence of education being supported outside of the training plan.  Services are provided at Summerset that adheres to the health &amp; disability services standards.  There are implemented competencies for caregivers and registered nurses including (but not limited to): insulin administration, medication, wound care and manual handling.  The service has been awarded a continuous improvement around end of life care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Resident meetings are held monthly.  An advocate from Age Concern attends the meetings.  The village manager and the nurse manager have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44 residents at hospital (medical and geriatric) and rest home level care.  At the time of the audit, there were 39 residents in total, 12 residents at rest home level including one respite care resident and 27 residents at hospital level including one respite care resident.  All beds in the care centre are dual-purpose beds.  There were no residents under the medical component of the certification.  All long-term residents were under the Aged Related Residential Care (ARCC)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on the Coast has a site-specific business plan 2017 and goals that is developed in consultation with the village manager, nurse manager and regional operations manager.  The Summerset on the Coast quality plan is reviewed regularly throughout the year.  There is a full evaluation at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position for 18 months.  The village manager is supported by a nurse manager and clinical nurse leader.  The nurse manager has been in the position for six months and has a background in aged care nursing.  There is a regional operations manager who is available to support the facility and staff.  Village managers and nurse managers attend two day organisational forums annually.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nurse manager will cover the village manager’s role.  The regional operations manager and the regional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on the Coast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and the nurse manager completes a ‘best practice’ sheet confirming completion of requirements.  The best practice sheet reports (but not limited to): meetings held, induction/orientation, audits, competencies and projects.  This is forwarded to head office as part of the ongoing monitoring programme.  There is a meeting schedule including monthly quality improvement (full facility) meetings that includes discussion about clinical indicators (eg, incident trends, infection rates).  Registered nurse meetings are held monthly.  Health and safety, infection control and restraint meetings occur four monthly.  There are other facility meetings held, such as kitchen and activities.   An annual residents/relatives survey completed (October 2016) reports overall 93.2% feedback of experience being good or very good.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Monthly and annual analysis of results is completed and provided across the organisation.  Health and safety internal audits are completed.  There are monthly accident/incident benchmarking reports completed by the nurse manager that break down the data collected across the rest home and hospital and staff incidents/accidents.  Infection control is also included as part of benchmarking across the organisation.  Summerset’s regional quality manager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programme in place including policies to guide practice.  The office manager is the health and safety officer (interviewed). In 2016 Summerset implemented a risk management and safety system (RMSS), with enhanced reporting, investigation, workflow management of Health and Safety.  Summerset on the Coast introduced a site-specific health and safety plan, which included enhancing contractor safety, improving staff safety, reducing staff injuries, increase of training and education for staff on health and safety, improving the number of hazards and near misses reported and preparedness for an emergency.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Twelve resident related incident reports for February 2017 were reviewed (four falls, three skin tears, four bruises and one other).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Eight staff files (one nurse manager, one RN, one clinical nurse leader, one diversional therapist, one housekeeper, one office manager/health and safety officer and two caregivers) were reviewed and all had relevant documentation relating to employment.  Performance appraisals had been completed annually.  The service has an orientation programme in place that provides new staff with relevant information for safe work practice. The orientation programme includes documented competencies and induction checklists (sighted in files of three newly appointed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orientation process and believed new staff were adequately orientated to the service.  There is an annual education plan that is outlined on the ‘clinical audit, training and compliance calendar’.  Core competencies are completed and a record of completion is maintained on staff files and well as being scanned into ‘Sway’.  Staff interviewed were aware of the requirement to complete competency training.  Caregivers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nurse manager work 40 hours per week (Monday to Friday).  The village manager is available on call for any operational issues.  The nurse manager and clinical nurse leader (CNL) share the on-call responsibilities for clinical support.  The service provides 24-hour RN availability.  There are six caregivers on morning shifts, six on the afternoon shifts and two on night shifts.  A staff availability list ensures that staff sickness and vacant shifts are covered.  Caregivers interviewed confirmed that staff are replaced.  Staffing levels and skills mix policy is the documented rationale for determining staffing levels and skill mixes for safe service delivery.  Residents and relatives interviewed stated that there was sufficient staff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locked cupboard.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nurse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Residents (four rest home including one respite resident and four hospital) and relatives (three hospital) interviewed stated that they received sufficient information on admission and discussion was held regarding the admission agreement.  The admission agreement reviewed aligns with a) - k) of the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follow-ups.  This directs staff to the appropriate documentation.  All relevant information is documented and communicated to the receiving health provider or service.  A transfer form accompanies residents to receiving facilities.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line with accepted guidelines.  Registered nurses including clinical nurse leader and two enrolled nurses administer medication and all have current medication competencies and have received medication education.  Medication errors, allergies are documented and investigated.  The service medication management system follows recognised legislative requirements and guidelines for safe medicine management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monthly robotic medication rolls.  Medications are checked on arrival at the facility.  All medications are stored safely.  The medication fridge temperature is recorded daily and maintained within the acceptable range.  Three registered nurses and one enrolled nurse interviewed were conversant with the service medicine management policies procedures.  Six monthly medication audits have been completed.  There is a self-medicating resident’s policy available to guide staff practice if required.  There are currently no residents self-administering medicines.  There are currently no medication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were reviewed on the electronic medication system and all had photographs and allergy status documented.  All medication charts reviewed met legislative prescribing requirements and have been reviewed at least three monthly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supplies all meals for the facility and is cooked on site by a contracted service.  There is evidence of current council certificate that expires 30 June 2017.  All kitchen staff have been trained in safe food handling.  On admission, the registered nurse completes a dietary profile and communicates individual resident’s needs to the kitchen staff.  The chef manager and kitchenhand interviewed described the process of special dietary requirements of individual residents and how they meet these needs.  Residents with special dietary needs have these needs reviewed as part of the six-monthly care planning review process.  There is a daily cleaning schedule in place.  Kitchen fridge, freezer and food temperatures are monitored daily and are within acceptable limits.  All food in the fridge and pantry is dated and labelled and all pantry items are stored off the floor.  Two staff interviewed were aware of safe management of incidents/accidents, hazard management and have completed chemical safety training.  The menu is an eight-week cycle and has been reviewed by a dietitian.  The service has access to a DHB dietitian and is contacted for any issues.</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 satisfaction with the food choices, meals are well presented (observed) and alternative meals are offered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and information provided from discharge summaries, allied health professionals and in consultation with the resident/relatives.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needs/risk assessments are carried out by registered nurses.  Assessment outcomes and goals for residents are identified and link to resident-centred care plan. Care plans include falls assessments, wound care and weight loss.  InterRAI assessments are used as the generalised assessment tool six monthly and within 21 days of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resident-centred care plans described the individual support and interventions required to meet the resident goals.  The care plans reflect the outcomes of risk assessment tools.  Care plans demonstrate service integration and include input from allied health practitioners.  Short-term care plans were in use for changes in health status.  These are evaluated regularly and either resolved or if an ongoing problem, added to the long-term care plan.  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(link 1.3.5.2).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seven residents with wounds and two hospital level residents with pressure injuries (one stage-one facility acquired and one unstageable hospital acquired).  The CNL and RN described the referral process for wound nurse specialist involvement through the DHB and district nurses.  The nurse practitioner is available to provide advice and support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  Specialist continence advice is available as needed.  Risk assessment tools and monitoring forms are available and are used to effectively assess changes in level of risk and required supports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restraint, blood sugar levels, weight, wound evaluations, and food and fluid intake charts.  RNs review the forms/charts and completed risk assessments for any changes to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fulltime diversional therapist (DT) and part-time qualified caregiver who is progressing though DT qualifications.  The DT is a member of the DT society, attends the regional support group and the DT conference. The activity team also attend Summerset training sessions.  Both team members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resident-centred rest home and hospital programme covers seven days a week from 9am to 4pm.  The programme is planned a month in advance and includes set activities with the flexibility to add other activities of interest or suggestions made by residents.  Following feedback, activities now provide a more holistic approach and have focused on increasing resident participation, resident interests and community inclusion (link 1.1.12.2).   Activities include (but not limited to); sit and be fit exercises, creative cooking, arts and crafts, reminiscence, movies, music, walks and one-on-one therapy.  Residents were observed being actively involved with a variety of activities.  Activities are planned that are appropriate to the functional capabilities of residents.  Residents are encouraged to maintain their former community links.  Community visitors include entertainers, church services, canine therapy and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resident meetings and annual surveys provide an opportunity for residents to feedback on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is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evaluations are completed at care plan review that reviews progress to meeting resident goals.  There is at least a three-monthly review by the medical practitioner.  Long-term resident-centred care plans are evaluated by the registered nurses six monthly or when changes to care occur as sighted in five of seven long-term care plans reviewed.  Two residents had not been at the service long enough for a care plan evaluation. There are short-term care plans to focus on acute and short-term issues.  Changes to the long-term resident-centred care plans are made as required (link 1.3.6.1) and at the six-monthly review as required.  Short-term care plans reviewed were well used, comprehensive, evaluated for effectiveness and signed off once resolved.</w:t>
            </w:r>
          </w:p>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RN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registered nurses identified that the service has access to (but not limited to); dietitian, physiotherapist, wound care nurse specialist, nurse practitioner, hospital specialists.  Referral to other health and disability services is evident in the sample group of resident files.  The service facilitates access to other medical and non-medical services.  Referral documentation is maintained on resident files.  One resident file reviewed provided an example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were readily accessible for staff.  Chemicals were stored safely throughout the facility.  Personal protective clothing was available for staff at the point of use in the two sluice rooms.  Staff were seen to be wearing personal protective equipment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9 February 2018.  There is a full-time property manager who oversees the property assistant and gardening team and is available on call for facility matters.  The property manager is the health and safety representative for Summerset on the health and safety committee.   Staff complete maintenance requests through the Sway (Summerset way) on-line system (property services requests).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December 2016 by an external contractor.  Clinical equipment has had functional checks/calibration annually.  Hot water temperatures are randomly tested in bathrooms and hand basins monthly.  Corrective actions have been recorded for temperatures outside of the acceptable range. Contractors check the temperatures of cylinders three monthly.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ground floor where the care centre is located and first floor with offices and staff area.  Corridors are wide in all areas to allow residents to pass each other safely.  There is safe access to all communal areas, outdoor areas and gardens with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flooring replacement plan for vinyl in bedrooms as rooms are refurbished, replacement of kitchen vinyl, upgrading and refurbishment of the dining room, converted and upstairs lounge into a family/whānau room, reconfigure a large lounge extension into two spacious single rooms, upgrading (painting and wallpaper) of communal hallways and manual hi-lo bed replacement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state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hand basins.   There are sufficient numbers of shower and toilet facilities in each of the three wings of resident rooms.  Visual inspection evidences toilet and shower facilities are of an appropriate design to meet the needs of the residents.  There are adequate numbers of communal toilets located near the communal areas.  Communal toilet/shower facilities have a system that indicates if it is engaged or vacant.   Privacy curtains are in shower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(including the two additional rooms) are single and spacious enough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that is partitioned from a smaller lounge with doors that open to the outdoors.  There is a conservatory lounge at the end of each wing.  The rest home wing of nine beds has its own dining room with kitchenette and tea making facilities.  There are seating alcoves throughout the facility.   The communal areas are easily accessible for residents or with the assistance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All linen and personal clothing is laundered on-site.  There are designated cleaning/laundry staff on duty seven days a week. There is an entry and exit door with a defined clean/dirty area. The laundry is well equipped and all machinery has been serviced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areas when not in use.  There are locked chemical boxes securely fixed to the cleaning trolley.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civil defence plan to guide staff in managing emergencies and disasters.  Emergencies and first aid is included in the mandatory in-service programme.  There is a first aid trained staff member on every shift.  Summerset on the Coast has an approved fire evacuation plan and fire drills occur six monthly.  Smoke alarms, sprinkler system and exit signs are in place.  The service has alternative cooking facilities (barbeque) available in the event of a power failure.  There is a 2000 litre tank, stored bottled water and lake water for use in an emergency.  The service holds at least three days of food storage. The civil defence equipment has been relocated from the garage to a central glow in the dark cabinet within the facility.  Emergency power is used for lighting and calls bells for up to two hours with torches readily available and solar lights that can be accessed from the garden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evident in resident’s rooms including the two reconfigured rooms, lounge areas, and toilets/bathrooms.  Staff use walkie talkies.  The facility is secured at night and the front gates are locked after hours with buzzer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The facility has underfloor heating in all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who is an enrolled nurse and has been in the role 13 years. The infection control programme is linked into the quality management system and reviewed annually in March at head office and in consultation with the infection control committee.  The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Influenza vaccines are offered to residents and staff.  Hand sanitisers are available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attends an annual Summerset training day for infection control officers and attends three monthly teleconferences and DHB meetings.  The infection control officer is supported by an infection control committee, which consists of representatives from the clinical, food services and housekeeping areas.  Committee members have attended the DHB infection control meetings.  Committee meetings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public health, laboratory, GPs and are supported by the regional manager who is a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control policies that are current and reflected the Infection Control Standard SNZ HB 8134:2008, legislation and good practice.  These are across the Summerset organisation and are reviewed regularly at head office.  The infection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 washing competencies and standard precautions.  Staff are required to complete practical hand hygiene audits and an infection control questionnaire.  Ongoing training has occurred three times throughout the year for all staff.  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Committee meeting minutes and graphs are displayed on the infection control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internal audits are completed and corrective actions raised for non-compliance.  There has been one confirmed norovirus outbreak in January 2016.  Relevant authorities were notified.  The service identified the need to increase outbreak management supplies and set up an outbreak cupboard.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three residents assessed as requiring the use of restraint (three bed rails) and one requiring enablers (bedrails).  The care plans provide the basis of factual information in assessing the risks of safety and the need for restraint.  Ongoing consultation with the resident and family/whānau is also identified.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the nurse manager.  All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A restraint assessment tool meets the requirements of the standard.  Two hospital level residents’ files where restraint was being used were selected for review.  Each file included a restraint assessment and consent form that was signed by the resident’s family.  Restraint use is linked to the resident’s care plan and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three monthly by the restraint committee during restraint meetings.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national quality manager and the national education manager.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gridCol w:w="1280"/>
        <w:gridCol w:w="1857"/>
        <w:gridCol w:w="8024"/>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resident-centred care plans described the individual support and interventions required to meet the resident goals, however four resident files reviewed did not include all interventions to support current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 files reviewed (two rest home residents, one rest home respite care and one hospital respite level of care resident) did not all include interventions to support current needs.  1) The hospital level respite care resident was assessed at medium risk of falls, had swallowing difficulties and on a soft diet.  There were no documented interventions to manage the falls risk and dietary requirements/swallowing difficulties.  No weight had been recorded on admission. 2) There were no documented signs/symptoms treatment and management for hypoglycaemia episodes as per discharge summary. 3) One rest home resident has been diagnosed with a new medical condition with associated pain as per GP notes. There were no documented interventions for the newly diagnosed condition or pain management plan in place. 4) One other rest home resident had no documented interventions for a medication that requires close monitoring (as per GP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 current health needs are documented to guide staff in the delivery of care and to meet the resident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575"/>
        <w:gridCol w:w="81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community visitors to the village and encourage resident involvement.  Summerset on the Coast have a long-term relationship with Whitireia students and supported a health promotion day held in the village August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Whitireia nursing students identified an opportunity to hold a health promotion day “Whitireia Health Fair” in the village for all village residents, care centre residents and staff.  The expo had a holistic approach including nutrition, activities, information technology, dental health, physical health and falls prevention.  There were a number of stalls and blood pressure checks.  The interaction of nursing students, village and care centre residents, staff and families created a strong sense of community for all those who attended. Thirty-two residents (ambulatory and assisted) from the care centre, attended the health promotion expo and expressed extreme satisfaction as documented in articles published in the local newspaper.  A nursing student published an article on the health promotion day in the nursing journal.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key project for 2016 around the very end stage of life and care after death including supporting families and staff.  Guidelines were developed around the last few days of life, physical death, extended family support, mental and spiritual health in line with the DHB focus on palliative care (Te Ara Whakapiri).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(CNL) took on a role as a champion of end of life and facilitated and directed all end of life care planning. The service has a close relationship with the hospice.  Palliative care training packages were completed by care staff.  Training was also completed by the administration staff as they are often the first person to meet families with a loved one at the end of life or following death.  Caregivers focus has changed from meeting physical needs to providing comfort and support and state they feel more comfortable discussing end of life and supporting families.  A resident advocate provides feedback on the services.  A chaplain has been formally engaged who supports the end of life resident and their families before and after death including prayers and the blessing of rooms.  Other initiatives around end of life include:  the provision of a family/whānau room, a comfort box (with contents such as soft music DVS, toiletries, candle, bible and shawl) and the development of a special palliative care menu to ensure suitable food and fluids are provided.  A comprehensive package for families “support for your loved one” has been created.  When a casket is removed, the last journey is through the front door where all staff on duty form a guard of honour.  Letters of thanks reflect the satisfaction level of families in the care and support at end of life.  In 2016 there were 33 deaths.  Verbal feedback has been received from the families with a 97% satisfaction rate. The resident/relative survey October 2016 evidenced 100% satisfaction for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survey identified that residents would like a more holistic programme (based around children, pets and plants) that would engage the residents, provide more spiritual services, and more music (50% enjoyed entertainers and 44% enjoyed music) and implement an intergenerational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commenced January 2016 to improve the activity programme to meet the expectations of the residents around engaging residents in the programme, provision of music and entertainment and more spiritual services.  This was achieved by; a) employing a qualified DT to facilitate the activity programme to meet the residents preferences, b) meeting with residents to discuss their recreational preferences and listen to suggestions for activities, c) purchasing a piano with relative input that is played by a resident daily and for the village choir rehearsals, d) placement of a university music therapist for six months, e) introduction of a school boys weekly mentoring programme, which included engaging with residents and sharing of life stories and entertainment such as kapa haka group, f) engaging a dedicated chaplain to increase church services and be available to all and g) garden development to increase indoor/outdoor flow and resident interaction with the garden and resident cat.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2016 survey showed .01% increase from 2015, however the service identified the low response rate due to a higher number of hospital residents who were unable to participate in the survey.  Evidence of increased satisfaction in the programme has been through monitoring the resident attendance, and resident DT progress notes that document resident satisfaction and increased participation in the programme.  Attendance records evidence residents who once stayed in their rooms now come out for activities, entertainment and music.  Residents interviewed on the day of audit stated they were very satisfied with the improved activities, entertainment, music and visiting school children and spiritual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events are collated monthly and areas for improvement are identified and corrective actions developed and followed up.  The facility is benchmarked against other Summerset facilities of similar size and benchmarking results are fed back to the infection control officer and used to identify areas for improvement.  Surveillance results are used to identify infection control activities and education needs within the facility.  The service has successfully reduced urinary tract infections (UTI).</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peak in UTIs in October 2016 with six UTIs for the month from one the previous month before.  An analysis of the residents with UTIs identified all residents were female, had positive E Coli urine samples and all residents used commodes in their rooms.  The infection control officer focused on education for caregivers around perineal cleaning and ensuring residents had adequate fluid intake in a variety of forms such as ice-blocks and jellies.  The graphs displayed were produced in a user-friendly format that could be easily interpreted by care staff.  The infection control board was used more frequently to increase staff awareness around prevention of UTIs.  In November 2016, the UTIs had reduced to two and have remained below the organisational key performance indicator (KPI).  Over 2016 Summerset on the Coast has the second lowest incidence of UTIs in the rest home across the organization.  The service has successfully reduced and maintained the incidence of UTIs in rest home residents below the organisational KPI (1.5 per 1000 bed days) for UTIs.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on the Coast</w:t>
    </w:r>
    <w:bookmarkEnd w:id="58"/>
    <w:r>
      <w:rPr>
        <w:rFonts w:cs="Arial"/>
        <w:sz w:val="16"/>
        <w:szCs w:val="20"/>
      </w:rPr>
      <w:tab/>
      <w:t xml:space="preserve">Date of Audit: </w:t>
    </w:r>
    <w:bookmarkStart w:id="59" w:name="AuditStartDate1"/>
    <w:r>
      <w:rPr>
        <w:rFonts w:cs="Arial"/>
        <w:sz w:val="16"/>
        <w:szCs w:val="20"/>
      </w:rPr>
      <w:t>23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