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Cascades Retirement Resort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Cascades Retirement Resort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Cascades Retirement Resort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March 2017</w:t>
      </w:r>
      <w:bookmarkEnd w:id="7"/>
      <w:r w:rsidRPr="009418D4">
        <w:rPr>
          <w:rFonts w:cs="Arial"/>
        </w:rPr>
        <w:tab/>
        <w:t xml:space="preserve">End date: </w:t>
      </w:r>
      <w:bookmarkStart w:id="8" w:name="AuditEndDate"/>
      <w:r w:rsidR="00A4268A">
        <w:rPr>
          <w:rFonts w:cs="Arial"/>
        </w:rPr>
        <w:t>14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Cascades Retirement Resort (The Cascades) provides rest home and hospital level care for up to 75 residents. There are additionally 32 apartments attached to the care facility which are approved for delivery of rest home care. On the days of audit two people living in the apartments were receiving rest home care.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Services Standards and the provider’s contract with the Waikato District Health Board (WDHB). There has been a change of operator which took effect on 1 January 2017. The scope and size of services remain the same as they were at the previous audit in 2015.</w:t>
      </w:r>
    </w:p>
    <w:p w:rsidRPr="00A4268A">
      <w:pPr>
        <w:spacing w:before="240" w:line="276" w:lineRule="auto"/>
        <w:rPr>
          <w:rFonts w:eastAsia="Calibri"/>
        </w:rPr>
      </w:pPr>
      <w:r w:rsidRPr="00A4268A">
        <w:rPr>
          <w:rFonts w:eastAsia="Calibri"/>
        </w:rPr>
        <w:t>The residents, family members and a general practitioner interviewed on site expressed their satisfaction with the care and quality of services provided.</w:t>
      </w:r>
    </w:p>
    <w:p w:rsidRPr="00A4268A">
      <w:pPr>
        <w:spacing w:before="240" w:line="276" w:lineRule="auto"/>
        <w:rPr>
          <w:rFonts w:eastAsia="Calibri"/>
        </w:rPr>
      </w:pPr>
      <w:r w:rsidRPr="00A4268A">
        <w:rPr>
          <w:rFonts w:eastAsia="Calibri"/>
        </w:rPr>
        <w:t>Each of the standards assessed were fully attained and the activities standard was rated continuous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demonstrates that it communicates effectively with its residents, their relatives and allied health professionals when required, in a timely and open manner. The service adheres to the practices of open disclosure where necessary.  There are appropriate processes in place to access interpreting services when required.  </w:t>
      </w:r>
    </w:p>
    <w:p w:rsidRPr="00A4268A">
      <w:pPr>
        <w:spacing w:before="240" w:line="276" w:lineRule="auto"/>
        <w:rPr>
          <w:rFonts w:eastAsia="Calibri"/>
        </w:rPr>
      </w:pPr>
      <w:r w:rsidRPr="00A4268A">
        <w:rPr>
          <w:rFonts w:eastAsia="Calibri"/>
        </w:rPr>
        <w:t>The complaints management system complies with consumer rights legislation and the company’s own policies. Each complaint received had been taken seriously, acknowledged in a timely manner, and thoroughly investigated. Communication between parties and outcomes from complaint investigations were recorded.  Residents and relatives confirmed they had been informed about the complaint management process and felt supported to raise any concerns.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new operators are maintaining frequent and clear communication with senior staff. The quality and risk management systems were being maintained with all areas of service delivery being regularly monitored. Adverse events are reliably reported, and investigated to determine ways that recurrence could be prevented. People impacted by an adverse event are notified, for example, general practitioners and families. Staff understood their obligations with regard to essential notifications. </w:t>
      </w:r>
    </w:p>
    <w:p w:rsidRPr="00A4268A">
      <w:pPr>
        <w:spacing w:before="240" w:line="276" w:lineRule="auto"/>
        <w:rPr>
          <w:rFonts w:eastAsia="Calibri"/>
        </w:rPr>
      </w:pPr>
      <w:r w:rsidRPr="00A4268A">
        <w:rPr>
          <w:rFonts w:eastAsia="Calibri"/>
        </w:rPr>
        <w:t xml:space="preserve">Staff were being recruited and managed effectively. Staff training in relevant subject areas has been occurring regularly. In particular, manual handling which is included in the orientation schedule. There were adequate number of skilled and experienced staff on site to meet the needs of the resident group.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is coordinated in a manner that promotes continuity in service delivery and promotes a team approach to care delivery.  The processes for assessment, planning, provision, evaluation, review and exit are provided within time frames that safely meet the needs of the resident and contractual requirements.</w:t>
      </w:r>
    </w:p>
    <w:p w:rsidRPr="00A4268A" w:rsidP="00621629">
      <w:pPr>
        <w:spacing w:before="240" w:line="276" w:lineRule="auto"/>
        <w:rPr>
          <w:rFonts w:eastAsia="Calibri"/>
        </w:rPr>
      </w:pPr>
      <w:r w:rsidRPr="00A4268A">
        <w:rPr>
          <w:rFonts w:eastAsia="Calibri"/>
        </w:rPr>
        <w:t xml:space="preserve">All residents have interRAI assessments completed and individualised care plans related to this programme.  When there are changes to the resident’s needs a short-term plan is developed and integrated into a long-term plan, as needed.   All care plans are evaluated at least six monthly.  </w:t>
      </w:r>
    </w:p>
    <w:p w:rsidRPr="00A4268A" w:rsidP="00621629">
      <w:pPr>
        <w:spacing w:before="240" w:line="276" w:lineRule="auto"/>
        <w:rPr>
          <w:rFonts w:eastAsia="Calibri"/>
        </w:rPr>
      </w:pPr>
      <w:r w:rsidRPr="00A4268A">
        <w:rPr>
          <w:rFonts w:eastAsia="Calibri"/>
        </w:rPr>
        <w:t>The service provides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four week rotating menu which has been approved by a registered dietitian. Residents’ nutritional requirements are met.   </w:t>
      </w:r>
    </w:p>
    <w:p w:rsidRPr="00A4268A" w:rsidP="00621629">
      <w:pPr>
        <w:spacing w:before="240" w:line="276" w:lineRule="auto"/>
        <w:rPr>
          <w:rFonts w:eastAsia="Calibri"/>
        </w:rPr>
      </w:pPr>
      <w:r w:rsidRPr="00A4268A">
        <w:rPr>
          <w:rFonts w:eastAsia="Calibri"/>
        </w:rPr>
        <w:t>A safe medicine administration system was observed at the time of audit.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and all interior and exterior areas are being maintained as safe and suitable for the residents.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established methods for determining safe and appropriate restraint and enabler use. On the days of audit the restraint register accurately reflected the restraint interventions in use. The methods used for assessment, consent and approval, monitoring, evaluation and review meet all the requirements of the Restraint Minimisation and Safe Practice Standards. Restraint use is minimised and staff education and training to prevent and/or safely manage restraint use is ongoing.</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completed every month.  Results of surveillance are reviewed to assist in minimising and reducing the risk of infection.  The infection surveillance results are reported back to staff and residents, where appropriate,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WDHB requested in depth review of the complaints management system following a complaint received in June/July 2016 and subsequent investigations by the Office of the Health and Disability Commissioner and the WDHB. Records and staff and resident interviews showed that the service is managing all complaints received according to its policy and right 10 of the Code of Health and Disability Services Consumers’ Rights. The complaints register was up to date and recorded 20 complaints received in 2016 and four to date in 2017. Residents confirmed knowledge of the ways to lodge a complaint. The complaints logged since the previous audit show that each matter was investigated immediately, and managed effectively for resolution with all parties. There was written evidence of ongoing communication with the people involved.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promote an environment of good communication. Policies and procedures are in place if interpreter services are needed to be accessed. There were no non-English speaking residents on the day of audit, although some are multilingual and were observed to be conversing in different languages with friends and family.</w:t>
            </w:r>
          </w:p>
          <w:p w:rsidR="00EB7645" w:rsidRPr="00BE00C7" w:rsidP="00BE00C7">
            <w:pPr>
              <w:pStyle w:val="OutcomeDescription"/>
              <w:spacing w:before="120" w:after="120"/>
              <w:rPr>
                <w:rFonts w:cs="Arial"/>
                <w:b w:val="0"/>
                <w:lang w:eastAsia="en-NZ"/>
              </w:rPr>
            </w:pPr>
            <w:r w:rsidRPr="00BE00C7">
              <w:rPr>
                <w:rFonts w:cs="Arial"/>
                <w:b w:val="0"/>
                <w:lang w:eastAsia="en-NZ"/>
              </w:rPr>
              <w:t>The GP and family members interviewed said they are kept informed of the resident's status, including any events adversely affecting the resident. Evidence of open disclosure was documented on the accident/incident forms and in the residents' progress notes sighted. A new method for registered nurse (RN) to RN communications has been implemented with good effect, according to the clinical manager (CM) and RNs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72 residents (30 hospital and 42 rest home level) who were all over the age of 65 years. Two people living in the adjoining apartments were receiving rest home level care. A change of operator from the Sanderson group to the Arvida Group occurred in January 2017. The change occurred through a purchase of shares not a sale and purchase agreement and therefore did not require a provisional audit to be conducted. This group previously took over The Cascades ‘sister’ facility Bethlehem Views in Tauranga in October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(GM) was unavailable on the day of the audit and the clinical manager (CM) was acting in the role. Interview with the CM and review of documents showed the quality, risk and business plans have current goals. The operators are kept informed about service delivery and organisational performance via frequent reports from the general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CMs personnel records reviewed, confirmed ongoing performance development in subject areas related to the role. The general manager continues to liaise with other age care providers in the area and has regular contact with WDHB representatives.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role of quality coordinator has been vacant since October 2016. The quality and risk management system has been overseen by the CM who delegates some tasks to other staff members. The system continues to be integrated with service delivery and reflects continuous quality improvement. The policies, procedures and forms in use are the previous company’s (The Sanderson group) as transition to Arvidas system has not yet occurred. The current documents are controlled and the policies reflect best known practices. Quality monitoring includes regular checks and audits of service delivery and the collection, analysing and reporting of quality data. The quality coordinator submits monthly quality reports to the GM, quality committee, RNs and staff. The report contains details about audits completed in the previous month, staff education, a breakdown of incidents and accidents, environmental reports, new staff, and outcomes from resident satisfaction surveys.  Where service improvements are required, these are planned, documented, and timeframes and responsibility was allocated for completion.   All staff interviewed were able to articulate their role in relation to the system.</w:t>
            </w:r>
          </w:p>
          <w:p w:rsidR="00EB7645" w:rsidRPr="00BE00C7" w:rsidP="00BE00C7">
            <w:pPr>
              <w:pStyle w:val="OutcomeDescription"/>
              <w:spacing w:before="120" w:after="120"/>
              <w:rPr>
                <w:rFonts w:cs="Arial"/>
                <w:b w:val="0"/>
                <w:lang w:eastAsia="en-NZ"/>
              </w:rPr>
            </w:pPr>
            <w:r w:rsidRPr="00BE00C7">
              <w:rPr>
                <w:rFonts w:cs="Arial"/>
                <w:b w:val="0"/>
                <w:lang w:eastAsia="en-NZ"/>
              </w:rPr>
              <w:t>Any business risks are monitored by the GM and directors. Occupational health and safety risks continue to be managed by designated health and safety officers who support staff to understand and adhere to procedures. Chemical safety data sheets are located where hazardous chemicals are stored. Clinical risks are identified in residents’ service delivery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revealed that the adverse event reporting system is known by staff and is co-ordinated by the clinical nurse manager who is also the acting quality coordinator. The event records showed that reporting occurs immediately and is investigated to determine cause and prevent or minimise recurrence. The incident form also records who (for example, family and general practitioners), were notified and when. This was confirmed during interview with the GP. The records showed that analysis of the incident and accidents data was occurring reliably at monthly intervals and that three monthly summaries of the data assist in identifying positive or negative trends. There was evidence in staff meeting minutes that trends were reported and discussed along with methods for addressing unwanted trends. </w:t>
            </w:r>
          </w:p>
          <w:p w:rsidR="00EB7645" w:rsidRPr="00BE00C7" w:rsidP="00BE00C7">
            <w:pPr>
              <w:pStyle w:val="OutcomeDescription"/>
              <w:spacing w:before="120" w:after="120"/>
              <w:rPr>
                <w:rFonts w:cs="Arial"/>
                <w:b w:val="0"/>
                <w:lang w:eastAsia="en-NZ"/>
              </w:rPr>
            </w:pPr>
            <w:r w:rsidRPr="00BE00C7">
              <w:rPr>
                <w:rFonts w:cs="Arial"/>
                <w:b w:val="0"/>
                <w:lang w:eastAsia="en-NZ"/>
              </w:rPr>
              <w:t>Interviews confirmed that senior staff understand their obligations about essential notifications. Apart from a serious complaint in 2016 there have been no other events requiring notification.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being effectively managed. The skills and knowledge required is documented in position descriptions and employment agreements. The clinical manager and a cross section of staff interviewed confirmed they understood their roles, delegated authority and responsibilities. Every job applicant is reference checked and police checked. Staff records contained evidence of recruitment processes being followed, orientation having been completed, three month post employment reviews and annual performance appraisals. Copies of current practising certificates were sighted for each of the 17 RNs employed. </w:t>
            </w:r>
          </w:p>
          <w:p w:rsidR="00EB7645" w:rsidRPr="00BE00C7" w:rsidP="00BE00C7">
            <w:pPr>
              <w:pStyle w:val="OutcomeDescription"/>
              <w:spacing w:before="120" w:after="120"/>
              <w:rPr>
                <w:rFonts w:cs="Arial"/>
                <w:b w:val="0"/>
                <w:lang w:eastAsia="en-NZ"/>
              </w:rPr>
            </w:pPr>
            <w:r w:rsidRPr="00BE00C7">
              <w:rPr>
                <w:rFonts w:cs="Arial"/>
                <w:b w:val="0"/>
                <w:lang w:eastAsia="en-NZ"/>
              </w:rPr>
              <w:t>The sample of six staff files reviewed confirmed that staff are maintaining knowledge and skills in emergency management, first aid certificates and competencies in medicine administration and attend regular training. There has been a particular emphasis on providing staff with training about safe manual handling and conducting random audits on lifting and transferring. An in-service education session on the day of the audit about skin integrity and wound management included reminders about safe transfers. The care staff and RNs interviewed said they were being provided regular and effective education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Rosters sighted and interviews with staff confirmed there are sufficient numbers of skilled and experienced staff on all shifts, to meet the minimum requirements of the provider’s agreement with the DHB. This includes RNs being on site and on call 24 hours a day seven days a week. Staffing allocation takes into account the possibility of emergency call outs to the attached retirement village. Auxiliary staff (eg, cooks, cleaners, laundry and maintenance staff) are allocated sufficient hours to complete their duties. Staff and residents interviewed had no concerns about staff availability. A system of staff recording their availability for call backs is in place to cover unexpected staff absences.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described the processes to ensure safe administration of all medications.  This included competency requirements, prescribing, recording, the process when an error occurs, as well as definitions for ‘over the counter’ medications that may be required by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one resident was self-administering medications.  The service’s policies, procedures and self-administration guidelines to assess if the resident was competent to administer their own medications was implemented and medication was observed as secure in the resident’s bedroom. </w:t>
            </w:r>
          </w:p>
          <w:p w:rsidR="00EB7645" w:rsidRPr="00BE00C7" w:rsidP="00BE00C7">
            <w:pPr>
              <w:pStyle w:val="OutcomeDescription"/>
              <w:spacing w:before="120" w:after="120"/>
              <w:rPr>
                <w:rFonts w:cs="Arial"/>
                <w:b w:val="0"/>
                <w:lang w:eastAsia="en-NZ"/>
              </w:rPr>
            </w:pPr>
            <w:r w:rsidRPr="00BE00C7">
              <w:rPr>
                <w:rFonts w:cs="Arial"/>
                <w:b w:val="0"/>
                <w:lang w:eastAsia="en-NZ"/>
              </w:rPr>
              <w:t>Medications for residents are received and delivered by the pharmacy in a pre-packed delivery system.  A safe system for medicine management was observed on the day of audit.  Medicines are stored in a medicine trolley individually in one of two treatment rooms which are locked when not occupied.  A locked cupboard is used for controlled medications (CDs) and the medicine registers were sighted.  The pharmacy audits the CD register twice yearly.   Medications that require refrigeration are stored in a separate fridge with recorded temperatures documented.</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an electronic medication charting and management system.  Fifteen of the twenty medicine charts sighted in the electronic medication management system were not documented as reviewed by the GP every three months, however evidence of medication reviews were observed in GP written documentation.  The clinical manager stated that she would ask the GP to update the electronic files.  All prescriptions sighted contained the date, medicine name, dose and time of administration.  All medicine charts have each medicine individually prescribed and ‘as required’ (PRN) medications identified had the reason stated for the use of that medication.  All the medicine files reviewed have a photo of the resident to assist with the identification of the resident.   Where a resident refuses medications, strategies to reduce related risks have been developed in discussion with relevant parties.  An example was confirmed in discussion with the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competencies sighted for all staff responsible for medicine management.  The registered nurse administering medicines at the time of audit demonstrated competency related to medicine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monitoring and surveillance of the food preparation and hygiene is carried out.  Food procurement, production, preparation, storage, delivery and disposal was sighted at the time of audit.  Fridge and freezer recordings are observed daily and recorded and meet the food safe requirements.  The catering manager interviewed had a very good understanding of food safety management and have completed ongoing updated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 week rotating menu that has been reviewed by a dietitian.  Where unintentional weight loss is recorded, the resident is discussed with the GP/NP. Food and fluid monitoring is implemented and the resident is referred for a dietitian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profile is completed for each resident by the RN upon entry to the service and this information is shared with the kitchen staff with a copy remaining in the kitchen to ensure all needs, wants, dislikes and special diets of the resident are catered for.  The kitchen is available for staff to provide residents with food and nutritional snacks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also offers residents a variety of cereals for breakfast.  One of two main options are provided for lunch including a desert and a lighter menu option for dinner also supporting individual residents with different cultural food needs if required.   All main meals are supported by morning and afternoon tea which includes home baking.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cooked and served directly from the kitchen and served in kitchens adjoining the residents’ dining rooms.  Residents have the option of trays in their rooms, however all residents are encouraged to have their meals in the dining rooms to encourage appetites and socialisation.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management policies and procedures include assessment on admission, weight and bowel management, clinical notes and referral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on the days of the audit, the registered nurse and caregivers demonstrated good knowledge of individual residents, providing individual and specific care that was reflected in the resident’s care plan.  The residents’ files showed evidence of discussions and involvement of family.  The residents interviewed reported that the staff knew them all very well and had no concerns with the care they received.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dressing and continence supplies to meet the needs of the residents.  The care plans reviewed recorded interventions that were consistent with the resident’s assessed needs and desired goals.  The registered nurse and caregivers interviewed reported they have input into residents’ care plans on a regular basis and state that the care plans are accurate and kept up to date to reflect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uses a framework to empower the residents both young and older to have the opportunity to be valued and respected.  The residents are provided with opportunities that are of interest to them from the past and present and are encouraged and supported to maintain their community networking and friendships allowing for ongoing socialisation and developing new interests. The activities coordinator adapts activities to meet the needs and preference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three diversional coordinators who work as a team Monday – Saturday 7.30 am to 4.30 pm.  The weekly activities plan/calendar sighted was developed based on the resident’s individual needs and interests and was adapted depending on the resident’s physical ability, interest and reaction at the time. The activities staff advertises the upcoming activities.   Regular activities include daily newspaper reading and different types of exercises, church services, regular visiting entertainment and community based trips.  There are also specific men’s and lady’s outings.   For residents who wish to remain in their rooms, activities and one to one interaction is offered and supported by staff.  The care staff interviewed stated that they have access to activities to support residents after hours and on the weekends.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have activities and social assessments that identify the resident’s individual diversional, motivational and recreational requirements.   Daily activities attendance sheet records are maintained for each resident.  The goals are updated and evaluated in each resident’s file three monthly. </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families interviewed stated that they were happy with the activities on offer and families and visitors felt included when they visited.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had a documented evaluation that was conducted within the last six months.  Evaluations are resident focused and document achievements or response to supports/interventions and progress towards meeting the desired outcome/goal.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changing needs are clearly documented in the care plans reviewed.  Residents whose health status changes, and/or are not responding to the services/interventions being delivered, are discussed with the GP and/or nurse practitioner (NP) and family/whanau.  Short term care plans were sighted for wound care, infections, and changes in mobility, changes in food and fluid intake and skin care.  The medical and nursing assessments of these short term care plans are documented in the residents’ progress notes.  The caregivers interviewed demonstrated good knowledge of short term care plans and reported that they are reported and discussed at handover.   </w:t>
            </w:r>
          </w:p>
          <w:p w:rsidR="00EB7645" w:rsidRPr="00BE00C7" w:rsidP="00BE00C7">
            <w:pPr>
              <w:pStyle w:val="OutcomeDescription"/>
              <w:spacing w:before="120" w:after="120"/>
              <w:rPr>
                <w:rFonts w:cs="Arial"/>
                <w:b w:val="0"/>
                <w:lang w:eastAsia="en-NZ"/>
              </w:rPr>
            </w:pPr>
            <w:r w:rsidRPr="00BE00C7">
              <w:rPr>
                <w:rFonts w:cs="Arial"/>
                <w:b w:val="0"/>
                <w:lang w:eastAsia="en-NZ"/>
              </w:rPr>
              <w:t>Family/whanau interviewed stated that they can consult with staff at any time if they have concerns or there are changes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of warrant of fitness which expires in May 2017. Hazard monitoring and preventative maintenance is occurring. All areas were observed as safe and appropriate for use by the consumer group. There have been no changes to the buildings.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take responsibility for surveillance activities.  Monitoring is discussed in management meetings to reduce and minimise risk and ensure residents’ safety.  The infection control coordinator completes a monthly and yearly surveillance report. The service monitors skin and soft tissue wounds, pressure injuries, urinary tract infections, oral, eyes, ear, gastroenteritis infections, and scabies.   Antibiotic use is also monitored.  The monthly analysis of the infections includes comparison with the previous month, reason for increase or decrease, trends and actions taken to reduce infections.  This information is fed back and discussed in staff meetings, and where appropriate, family and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The public health office and district health board was notified in May 2016 regarding a respiratory infection outbreak.  Nineteen residents and one staff member were affected.  A plan was developed, isolation of residents/staff occurred and health warning signs/communication were put in place.  Cleaning, laundry and personal hygiene were emphasised.  A corrective action plan was sighted meeting all legislation and standard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reports identify three residents who are chronically unwell and frequently require antibiotics. Short term and long term care plans sighted evidence interventions in place to reduce and minimise the risk of infection. </w:t>
            </w:r>
          </w:p>
          <w:p w:rsidR="00EB7645" w:rsidRPr="00BE00C7" w:rsidP="00BE00C7">
            <w:pPr>
              <w:pStyle w:val="OutcomeDescription"/>
              <w:spacing w:before="120" w:after="120"/>
              <w:rPr>
                <w:rFonts w:cs="Arial"/>
                <w:b w:val="0"/>
                <w:lang w:eastAsia="en-NZ"/>
              </w:rPr>
            </w:pPr>
            <w:r w:rsidRPr="00BE00C7">
              <w:rPr>
                <w:rFonts w:cs="Arial"/>
                <w:b w:val="0"/>
                <w:lang w:eastAsia="en-NZ"/>
              </w:rPr>
              <w:t>A comparative statistical review documented 306 infections recorded in 2015 with a reduction of 241 recorded infections in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continuing to assess and safely manage residents who require restraint interventions or enablers for their safety and independent mobilisation according to policy and this Standard.</w:t>
            </w:r>
          </w:p>
          <w:p w:rsidR="00EB7645" w:rsidRPr="00BE00C7" w:rsidP="00BE00C7">
            <w:pPr>
              <w:pStyle w:val="OutcomeDescription"/>
              <w:spacing w:before="120" w:after="120"/>
              <w:rPr>
                <w:rFonts w:cs="Arial"/>
                <w:b w:val="0"/>
                <w:lang w:eastAsia="en-NZ"/>
              </w:rPr>
            </w:pPr>
            <w:r w:rsidRPr="00BE00C7">
              <w:rPr>
                <w:rFonts w:cs="Arial"/>
                <w:b w:val="0"/>
                <w:lang w:eastAsia="en-NZ"/>
              </w:rPr>
              <w:t>On the days of audit the restraint register listed four residents using bed rails and one resident using a lap belt when sitting. (One of these residents was reviewed in detail and their family member was interviewed). There are two residents listed as using bed rails as enablers. The date the restraint was commenced and was last reviewed is documented in the register. The restraint coordinator, who is also the clinical nurse manager, provides a written report to the quality committee each month which updates them about the restraints in place, any incidents related to restraint use and staff education planned or provided. Personnel records and staff interviews confirmed that annual attendance at restraint education is compulsory. Staff files also showed that new staff are provided with information about the restraint policy, philosophy and approach during their orientation.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9262"/>
        <w:gridCol w:w="14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multi-sensory group was initiated once a week to support residents who struggle to partake in the mainstream activities programme due to reduced mobility/health conditions.   A suitcase was built on wheels to hold resources which include aromatherapy, reminiscing, fiddle mats, massage, music, adult colouring and board games.  The suitcase supports group sessions and ease of access to support one to one sessions in resident’s rooms.  Residents were provided with information about the group and staff were encouraged to remind the residents.   An evaluation was completed in February 2017. The first three weeks the group was successful with a high resident turnout, however due to staff finding it difficult to have all the residents ready by 10.30 am fewer residents were able to attend the group.  A decision was made to discontinue the group; however, residents continue with one to one therapy.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part of the “Music Moves Me Trust’, which a music and percussion group that is facilitated once a week with 15 to 18 residents regularly participating.   Residents are supported in a group setting and one to one sessions in resident’s rooms.   An evaluation completed in December 2016 highlighted three residents with a history of complex needs showing a marked positive improvement in verbal and emotional interaction.</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stated that they were happy with the group and one to one interaction with the activities designed to meet their individual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improvements were a result of a review process, action taken based on findings of the review, and what the outcomes were for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Cascades Retirement Resort Limited</w:t>
    </w:r>
    <w:bookmarkEnd w:id="58"/>
    <w:r>
      <w:rPr>
        <w:rFonts w:cs="Arial"/>
        <w:sz w:val="16"/>
        <w:szCs w:val="20"/>
      </w:rPr>
      <w:tab/>
      <w:t xml:space="preserve">Date of Audit: </w:t>
    </w:r>
    <w:bookmarkStart w:id="59" w:name="AuditStartDate1"/>
    <w:r>
      <w:rPr>
        <w:rFonts w:cs="Arial"/>
        <w:sz w:val="16"/>
        <w:szCs w:val="20"/>
      </w:rPr>
      <w:t>14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