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Avondale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Avondale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2017</w:t>
      </w:r>
      <w:bookmarkEnd w:id="7"/>
      <w:r w:rsidRPr="009418D4">
        <w:rPr>
          <w:rFonts w:cs="Arial"/>
        </w:rPr>
        <w:tab/>
        <w:t xml:space="preserve">End date: </w:t>
      </w:r>
      <w:bookmarkStart w:id="8" w:name="AuditEndDate"/>
      <w:r w:rsidR="00A4268A">
        <w:rPr>
          <w:rFonts w:cs="Arial"/>
        </w:rPr>
        <w:t>15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Avondale Rest Home and Hospital provides rest home, hospital (geriatric and medical) and dementia level of care for up to 67 residents.  During the audit, there were 65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Pr="00A4268A">
      <w:pPr>
        <w:spacing w:before="240" w:line="276" w:lineRule="auto"/>
        <w:rPr>
          <w:rFonts w:eastAsia="Calibri"/>
        </w:rPr>
      </w:pPr>
      <w:r w:rsidRPr="00A4268A">
        <w:rPr>
          <w:rFonts w:eastAsia="Calibri"/>
        </w:rPr>
        <w:t>There are well developed systems that are structured to provide appropriate quality care for residents.  Implementation is supported through the Bupa quality and risk management programme that is individualised to Avondale.  A comprehensive orientation and in-service training programme that provides staff with appropriate knowledge and skills to deliver care and support is in place.  This audit has identified no areas requiring improvement.  Continuous improvements have been awarded against the quality analysis of data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 (HDC)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a registered nurse.  She is supported by clinical manager, registered nurses, caregivers and support staff.  The quality and risk management programme includes a service philosophy, goals and a quality and risk management programme.  Quality activities are conducted, which generate improvements in practice and service delivery.  Meetings are held to discuss quality and risk management processes and results.  Resident and family meetings are held and residents and families are requested to complete a satisfaction survey each year.  Health and safety policies, systems and processes are implemented to manage risk.  Incidents and accidents are reported and investigated.  An education and training programme has been implemented with a current plan in place.  Appropriate employment processes are adhered to.  There is a roster that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including individual information for dementia level care.   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Residents’ files include three monthly reviews by the nurse practitioner or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 xml:space="preserve">An activities programme is implemented that meets the needs of all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w:t>
      </w:r>
    </w:p>
    <w:p w:rsidRPr="00A4268A">
      <w:pPr>
        <w:spacing w:before="240" w:line="276" w:lineRule="auto"/>
        <w:rPr>
          <w:rFonts w:eastAsia="Calibri"/>
        </w:rPr>
      </w:pPr>
      <w:r w:rsidRPr="00A4268A">
        <w:rPr>
          <w:rFonts w:eastAsia="Calibri"/>
        </w:rPr>
        <w:t xml:space="preserve">All bedrooms are single occupancy with adequate numbers of toilets and showers.  There is sufficient space to allow the movement of residents around the facility using mobility aids.  There are a number of small lounge and dining areas throughout the facility in addition to its main communal areas.  The internal areas can be ventilated and heated.  The outdoor areas are safe and easily accessible and secure for the units that require this.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Appropriate training, information and equipment for responding to emergencies are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or enablers.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2"/>
        <w:gridCol w:w="1280"/>
        <w:gridCol w:w="9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policy and procedure is being implemented.  Discussions with the care home manager/registered nurse (RN), clinical manager/RN and fourteen care staff (nine caregivers (five on the am shift and four on the pm shift across the rest home, dementia and hospital units), four registered nurses (RNs), one activities coordinator) confirmed their familiarity with the Code.  Interviews with nine residents (eight rest home and one young person with a disability (hospital)) and six relatives (one rest home, two hospital, three dementia) confirmed that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nine residents’ files reviewed (three hospital - including one resident under the residential disability services contract and one respite, three rest home and three dementia level care).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information is available in the entrance foyer and includes advocacy contact details.  The information pack provided to residents at the time of entry to the service provides residents and family with advocacy information.  Advocacy support is available if requested.  Interviews with staff, residents and relatives confirmed that they were aware of advocacy services and how to access an advocate.  An HDC advocate speaker spoke at a recent residents’ family meeting in July 2016.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includes informing the complainant of their right to contact the Health and Disability Advocacy Service.  Links to advocacy services is documented on the complaint’s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and relatives interviewed confirmed that visiting can occur at any time.  Links are in place with the blind foundation and the Salvation Army.  Residents are encouraged to attend external community groups (local churches, retired services association).  Neither of the residents under the young persons with disability contract wish to leave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is a complaint form available at reception.  Information about complaints is provided on admission.  Interviews with residents and families demonstrated their understanding of the complaints process.  All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Six complaints received in 2016 were reviewed (no complaints have been received for 2017 year to date).  All complaints have noted investigation, timelines, corrective actions when required and resolutions.  Complaints are linked to the quality and risk management system.  One complaint lodged with HDC in 2015 is resolved at a facility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and leaflets are available in the foyer of the facility.  The service is able to provide information in different languages and/or in large print if requested.  On entry to the service the care home manager or clinical manager discusses the Code with the resident and the family/whānau.  Information on the Code is provided in the information pack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their Māori residents.  Bupa has developed Māori Tikanga best practice guidelines.  Staff training includes cultural safety.  There were three residents who identified as Māori living at the facility during the audit.  One whānau interviewed confirmed that their family member’s Māori values and beliefs were being met by the service.  The service has an established link with a local kaumātua.  Māori families/whānau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the resident’s cultural beliefs and values are used to develop a care plan which the resident (if appropriate) and/or their family/whānau are asked to consult on.  Discussions with staff confirmed that they are aware of the need to respond to the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(sighted in all eight employees’ files audited).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district health board which includes visits from specialists (eg, wound care, gerontology, mental health, palliative care) and staff education and training.  Physiotherapy services are provided four hours per week with a physiotherapy assistant appointed to assist with the residents with their prescribed exercise programmes.  There is a regular in-service education and training programme for staff.  Training is complimented by competency assessments and impromptu toolbox talks. Avondale currently have three RNs who have completed their PDRP and four working through this process.  Podiatry services are available every six weeks and hairdressing services are provided weekly.  The service has links with the local community and encourages residents to remain independent.  The general practitioner (GP) interviewed is satisfied with the level of care that is being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Twenty incidents/accidents forms were reviewed.  The forms include a section to record family notification and all 20 forms indicated family were informed.  Communication with family is also documented in the front of each resident’s file.  Families interviewed confirmed they were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Avondale is a Bupa residential care facility, situated in Avondale, Auckland.  The service provides care for up to 67 residents at hospital, rest home and dementia levels of care.  On the day of the audit there were 65 residents (30 hospital, 20 rest home and 15 dementia).  One hospital level resident was receiving respite care and two residents (one hospital and one rest home) were under the young persons with disability contract.  The facility’s hospital certification includes medical.  Sixteen beds in the rest home unit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Goals are regularly reviewed by the managers and are discussed in the two monthly quality meetings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care home manager who has been in her role for the past 10 months.  She has 21 years of experience in aged care and has worked for Bupa since 2008 in clinical manager and care home manager roles.  She is supported by an experienced clinical manager/registered nurse who has been in her role for one year and has worked for Bupa for four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with support from the Bupa operations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managers and twenty staff (fourteen care staff, two maintenance, one laundry, one cleaner, one cook and one activity coordinator) reflected their understanding of the Bupa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are being updated to include reference to InterRAI for an aged care service.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challenging behaviours) are collated and analysed with results communicated to staff.  Corrective actions are documented where improvements are identified.  Thirty satisfaction surveys were distributed to residents and families and four were returned (15% return rate).  All responded favourably with 100% either satisfied or very satisfied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Areas of non-compliance include the initiation of a corrective action plan with sign-off by a manager when implemented.  Quality and risk data is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includes specific and measurable health and safety goals that are regularly reviewed.  The care home manager is the health and safety officer.  Health and safety representatives are elected by staff and meet quarterly.  They have completed their stage-one health and safety training.  Staff attend annual health and safety training which begins during their orientation and continues annually.  Attendance rates at the annual in-services on health and safety are below 50%; however, competencies are completed annually by staff.  Staff are encouraged to enrol in the Bupa Bfit staff health and safety programme.  Contractors are required to be inducted into the facility and sign a health and safety information sheet when this has been completed.  Bupa has been awarded tertiary level ACC workplace safety management practice (expiry 31 March 2017).</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and perimeter mattresses, regularly checking residents at risk of falling, encouraging participation in activities, and physiotherapy input.  Residents at risk of falling have a falls risk assessment completed with strategies implemented to reduce the number of falls.  Caregiver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All 20 accidents/incidents reviewed were investigated by the clinical manager and/or registered nursing staff.  Adverse events are trended and analysed with results communicated to staff.  There is evidence to support actions are undertaken to minimise the number of incidents.  Clinical follow-up of residents is conducted by a registered nurse.  Neurological observations are undertaken if a head injury is suspected.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confirmed her awareness of the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Copies of current practising certificates are retained.  Eight staff files were reviewed and evidenced that reference checks are completed before employment is offered.  Signed employment agreements and job descriptions were contained in all eight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for new staff provides new staff with relevant information for safe work practice.  An annual in-service education programme is being implemented. Attendance rates have been below average for some sessions, but staff also complete role-specific competencies and attend impromptu toolbox talks (30 completed in 2016).  The CM also completes 1:1 coaching with the qualified staff.  In 2016, 21 hours and 40 mins was put towards 1:1 training.  Eleven caregivers who have worked in the dementia unit for over one year have completed their dementia education qualification.  The care home manager, clinical manager and nursing staff attend external training provided by the district health board in addition to in-house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Sufficient staff are rostered to manage the care requirements of the residents.  A unit coordinator/RN is appointed to each level of care (rest home, hospital and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(15 residents) is staffed during the am with a unit coordinator/RN four days a week and an RN, EN or senior caregiver the remaining three days of the week.  One RN (or senior caregiver) and one caregiver cover the pm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unit (22 residents) is staffed during the am and pm shifts with a unit coordinator/RN or a staff RN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unit (22 rest home and 8 hospital residents) is staffed with a unit coordinator/RN or an RN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One RN is shared between all residents during the night shift with one caregiver rostered in each of the three units.</w:t>
            </w:r>
          </w:p>
          <w:p w:rsidR="00EB7645" w:rsidRPr="00BE00C7" w:rsidP="00BE00C7">
            <w:pPr>
              <w:pStyle w:val="OutcomeDescription"/>
              <w:spacing w:before="120" w:after="120"/>
              <w:rPr>
                <w:rFonts w:cs="Arial"/>
                <w:b w:val="0"/>
                <w:lang w:eastAsia="en-NZ"/>
              </w:rPr>
            </w:pPr>
            <w:r w:rsidRPr="00BE00C7">
              <w:rPr>
                <w:rFonts w:cs="Arial"/>
                <w:b w:val="0"/>
                <w:lang w:eastAsia="en-NZ"/>
              </w:rPr>
              <w:t>All three units are staffed with adequate numbers of caregivers, meeting contractual requirements.  Extra staff can be called on for increased residents’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rostered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  The care home manager reported that she plans to increase staffing during the pm shift in the dementia unit as part of the organisational goal to reduce the number of residents’ falls by 50%.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 or registered nurse.  Individual resident files demonstrate service integration.  This includes medical care interventions and records of the activities coordinator.  Medication charts are in a separate folder.  Archived information is stored in secure locations both onsite and offsite.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overarching Bupa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including specific information regarding the dementia unit.  The admission agreement reviewed aligns with the service’s contracts.  Nine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dementia residents had a NASC agreement for this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on duty checks all medications on delivery against the medication and any pharmacy errors recorded and fed back to the supplying pharmacy.  The medication rooms in three areas are clean and well organised.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nurses and senior caregivers responsible for the administering of medications have completed annual medication competencies and annual medication education.  Caregivers who act as second checker have also completed medication competencies.  The standing orders have been approved by the GPs annually and meet the legislative requirements for standing orders.  The service is phasing out the use of standing orders as they have introduced an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Eighteen electronic medication charts were reviewed (six dementia, six rest home and six hospital).  Photo identification and allergy status were on all 18 charts.  All medication charts had been reviewed by the general practitioner at least three monthly.  All resident electronic medication administration signing sheets corresponded with the medication chart.  There were no residents self-administering medication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Anti-psychotic management plans are used for residents using anti-psychotic medications when medications are commenced, discontinued or changed.  The general practitioner reviews the anti-psychotic management plans for residents with stable behaviours and the psychogeriatrician reviews the management plans for residents with acute changes in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services and is supported by kitchen staff on duty each day.  The national menus have been audited and approved by an external dietitian.  The main meal is at lunchtime.  All baking and meals are cooked on-site in the main kitchen.  Meals are delivered in a bain-marie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cultural dietary needs, and alternative choices for dislikes are accommodated.  There is evidence that additional nutritious snacks are available over 24 hours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the bain-marie are monitored.  Temperatures are recorded on all chilled and frozen food deliveries.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included InterRAI assessment protocols within its current documentation.  Bupa assessment booklets on admission and care plan templates were completed for all the resident files reviewed.  InterRAI initial assessments and assessment summaries were evident in printed format in all files.  Files reviewed across the service identified that risk assessments have been completed on admission and reviewed six monthly as part of the evaluation.  Additional assessments for management of behaviour, wound care and pain and nutrition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resident care plans sampled were resident centred and support needs and interventions, however not all care plans in the rest home and hospital were updated as resident status changed.  Residents and family members interviewed confirm they are involved in the development and review of care plans.  Three of three dementia resident files reviewed identified current abilities, level of independence, identified needs and specific behavioural management strategies.  Behaviour monitoring charts were in use, as appropriate for escalation in behaviours.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were evaluated on a regular basis and signed off as resolved or transferred to the long-term care plan.  Short-term care plans were sighted in use for current infections, pressure injuries and wounds.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their needs were being met.  Family members interviewed praised the service, the care staff and the management team.  There was documented evidence of relative contact for any changes to resident health status. The service attained and overall relative satisfaction survey rating of 100% in 2016.</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were in place for wounds, which included written progress notes to assist review and evaluation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ten wounds documented for the rest home and hospital.  The wounds included skin tears, chronic ulcers, and excoriated skin.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documented three wounds; two areas of sunburn (acquired prior to admission to facility) and one skin tear.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activities coordinator who is an occupational therapist.  The team comprise of the activity coordinator and one other activities person.  Both the activities personnel have level-4 dementia papers.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programme for rest home and hospital and dementia level of care residents.  Activities take place in all areas.  Residents attend activities in other units as appropriate.  Care staff were observed at various times through the day diverting residents from behaviours in the dementia unit.  There are 24-hour activity plans documented in the files reviewed for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There are resources available for care staff to use for one-on-one time with the resident.  Staff could describe a low stimulus environment.  On or soon after admission, a social history is taken and information from this is fed into the care plan and this is reviewed six monthly as part of the care plan review/evaluation.  A record is kept of individual resident’s activities.  The family/resident completes a Map of Life on admission, which includes previous hobbies, community links, family, and interests.  The individual activity plan is incorporated into the long-term care plan, and is evaluated six monthly at the same time as the care plan as evidenced in all resident files reviewed who had been with the service longer than six months.</w:t>
            </w:r>
          </w:p>
          <w:p w:rsidR="00EB7645" w:rsidRPr="00BE00C7" w:rsidP="00BE00C7">
            <w:pPr>
              <w:pStyle w:val="OutcomeDescription"/>
              <w:spacing w:before="120" w:after="120"/>
              <w:rPr>
                <w:rFonts w:cs="Arial"/>
                <w:b w:val="0"/>
                <w:lang w:eastAsia="en-NZ"/>
              </w:rPr>
            </w:pPr>
            <w:r w:rsidRPr="00BE00C7">
              <w:rPr>
                <w:rFonts w:cs="Arial"/>
                <w:b w:val="0"/>
                <w:lang w:eastAsia="en-NZ"/>
              </w:rPr>
              <w:t>Bupa Avondale has a van, which is used for outings and to attend events in the local community.  There is a staff member employed whose role is solely to drive the van, ensuring the activities coordinator and assistant are available to supervise residents when on outings.  The van has a hoist platform for easy access for those who require the use of a mobility aid or wheelchair.</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links with the local churches, kindergarten and intermediate schools and have participated in community projects.  Families and residents praised the activities provided.  Residents from all levels of care were observed to be provided with and enjoying a wide range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There is a comprehensive multi-disciplinary review documented.  The multidisciplinary review involves the RN, GP or NP, physiotherapist,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posted at the entrance to the facility (expiry 22 June 2017).  The rest home, hospital and dementia unit are all single storey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being implemented.  There is a full-time maintenance person recently employed who has completed health and safety training.  The previously appointed maintenance person continues to oversee the orientation of the new maintenance staff member and visits the site weekly. The hot water temperatures are monitored weekly and maintained between 43-45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 dementia unit has a separate secure garden area.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 This included, standing hoists, full hoists, sit-on weighing scales, platform scales, shower trolleys and chairs, pressure relieving mattresses and cushions, low beds, transfer belts and slide sheets.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rooms have ensuites.  There are adequate numbers of communal toilets and shower rooms.  There is appropriate signage, easy-clean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locks are installed on all toilet and shower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They are spacious enough to manoeuvre transferring and mobility equipment to safely deliver care.  Residents are encouraged to personalise their bedrooms as desired.  Resident rooms in the dementia unit were evidenced to have a “memory box” beside each individual resident’s room door. These memory boxes contained familiar items or photographs that were personal to the individual resident that they can recognise to assist with resident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lounges in each of the units.  Each unit also has a kitchenette and open plan dining area.  All lounge and dining rooms are accessible and accommodate the equipment required for the residents.  Residents can move freely and furniture is well arranged to facilitate this.  Seating and space is arranged to allow both individual and group activities to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dementia unit to allow maximum freedom of movement while promoting safety for those that wander.  There is a separate lounge area and dining area and smaller quiet lounges are available. The service has plans to create a sensory room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off-site at another Bupa facility.  Dirty laundry is collected daily and clean laundry is returned daily for folding and dispersing.  Laundry and cleaning audits are completed as part of the internal audit programme.  The laundry and cleaning rooms are designated areas and clearly labelled.  Chemicals are stored in locked rooms.  All chemicals are labelled with manufacturer’s labels.  There are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There are laundry staff to assist with the sorting, folding and distribution of clean laundry to each unit.  Cleaning trolleys are well equipped and stored safely when not in use.  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including pandemic, civil defence and other emergencies.  Fire evacuation practice documentation was sighted.  A contracted service provides checking of all facility equipment including fire equipment.  Fire training and emergency procedures are included in the staff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including during van outings.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 or where required, a senor mat was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under floor heating throughout the facility. There are heat pumps and air conditioning in the communal areas.  All communal rooms and bedrooms are well ventilated and have windows that provide natural light.  Residents and family interviewed stated the temperature of the facility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being implemented.  The infection control programme is appropriate for the size, complexity and degree of risk associated with the service and has been linked into the incident reporting system.  The rest home unit coordinator (registered nurse) is the designated infection control officer with support from the clinical manager.  The IC team meets bi-monthly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Avondale rest home and hospital.  The infection control (IC) officer has maintained their practice by attending infection control updates. There are Bupa regional infection control meetings held six monthly which the infection control officer attends.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facilitated by the infection control officer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Infections are included on a monthly register and a monthly report is completed by the infection control officer.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standard definitions of infections in place appropriate to the complexity of service provided.  Individual infection report forms are completed for all infections.    Infection control data is collated monthly and reported at the clinical review/RN meetings,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linked with the quality management programme.  Infections statistics are included for benchmarking.  Corrective actions are established where infections are above the benchmark.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 that advises and provides feedback/information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definitions of restraint and enabler that are congruent with the definition in NZS 8134.0.  There were no residents with restraint or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coordinator/RN from the dementia unit is the designated restraint coordinator.  Staff interviews and staff records evidence guidance has been given on restraint minimisation and safe practice (RMSP), enabler usage and prevention and/or de-escalation techniques.  Staff education on RMSP/enablers has been provided around maintaining a restraint-free environment.  Thirty-five staff have completed a competency around maintaining a restraint-free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maintained a restraint-free environment since 2013 and they continue to review strategies and actions to maintain a restraint-free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2"/>
        <w:gridCol w:w="1280"/>
        <w:gridCol w:w="3077"/>
        <w:gridCol w:w="74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at Avondale and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Avondale is active in analysing data collected monthly around accidents and incidents, and infection control etc. There are a number of examples where corrective actions were initiated as a result of clinical indicators being above the benchmark, these all evidence action taken, progress and evaluation.</w:t>
            </w:r>
          </w:p>
          <w:p w:rsidR="00EB7645" w:rsidRPr="00BE00C7" w:rsidP="00BE00C7">
            <w:pPr>
              <w:pStyle w:val="OutcomeDescription"/>
              <w:spacing w:before="120" w:after="120"/>
              <w:rPr>
                <w:rFonts w:cs="Arial"/>
                <w:b w:val="0"/>
                <w:lang w:eastAsia="en-NZ"/>
              </w:rPr>
            </w:pPr>
            <w:r w:rsidRPr="00BE00C7">
              <w:rPr>
                <w:rFonts w:cs="Arial"/>
                <w:b w:val="0"/>
                <w:lang w:eastAsia="en-NZ"/>
              </w:rPr>
              <w:t>Example: In June 2016, there was an increase in bruises in the dementia unit. Those at-risk residents were monitored and review of possible clutter.  Moving and handling competencies were updated for staff and toolbox talks completed.  On evaluation of the effectiveness of these measures, they noted a drop in bruises and actions continued to be towards embedded practice.</w:t>
            </w:r>
          </w:p>
          <w:p w:rsidR="00EB7645" w:rsidRPr="00BE00C7" w:rsidP="00BE00C7">
            <w:pPr>
              <w:pStyle w:val="OutcomeDescription"/>
              <w:spacing w:before="120" w:after="120"/>
              <w:rPr>
                <w:rFonts w:cs="Arial"/>
                <w:b w:val="0"/>
                <w:lang w:eastAsia="en-NZ"/>
              </w:rPr>
            </w:pPr>
            <w:r w:rsidRPr="00BE00C7">
              <w:rPr>
                <w:rFonts w:cs="Arial"/>
                <w:b w:val="0"/>
                <w:lang w:eastAsia="en-NZ"/>
              </w:rPr>
              <w:t>In May 2016, it was noted that falls were increased in the rest home in resident rooms.  Actions were implemented including (but not limited to), reviewing high risk residents and ensuring sensor mats in place, transfer and mobility plans reviewed and in resident rooms, assessment for UTIs and those treated, check of call bells and mats and toolbox on falls prevention.  Evaluation identified a drop in falls in June and ongoing monitoring of call bells and sensor mats.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collated monthly and reported at the clinical review/RN meetings,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linked with the quality management programme.  Infections statistics are included for benchmarking. Corrective actions are established where infections are above the benchmark.  Quality Improvement initiatives are taken from stats and internal audits and recorded as part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initiatives are taken from statistics and internal audits and recorded as part of continuous improvement.  Documentation covers a summary, investigation, evaluation and action taken.  The IC meeting minutes include comprehensive feedback on infection control including infection control practices in relation to infection statistics.  Example:  Eye infections were above the benchmark in May in the hospital.  Strategies implemented including (but not limited to), STCPs implemented, review by GP, included resident discussion of care at handovers, hand hygiene training including residents, increase in eye toilets, sanitising of handrails. The evaluation identified ongoing monitoring but decrease in eye infections with no further episodes for the rest of the year.  Meeting minutes reflect a comprehensive approach to analysis of collected data and ongoing quality initiatives and evaluation of effectiveness.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Avondale Rest Home &amp; Hospital</w:t>
    </w:r>
    <w:bookmarkEnd w:id="58"/>
    <w:r>
      <w:rPr>
        <w:rFonts w:cs="Arial"/>
        <w:sz w:val="16"/>
        <w:szCs w:val="20"/>
      </w:rPr>
      <w:tab/>
      <w:t xml:space="preserve">Date of Audit: </w:t>
    </w:r>
    <w:bookmarkStart w:id="59" w:name="AuditStartDate1"/>
    <w:r>
      <w:rPr>
        <w:rFonts w:cs="Arial"/>
        <w:sz w:val="16"/>
        <w:szCs w:val="20"/>
      </w:rPr>
      <w:t>14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