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Gracedale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Gracedale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2017</w:t>
      </w:r>
      <w:bookmarkEnd w:id="7"/>
      <w:r w:rsidRPr="009418D4">
        <w:rPr>
          <w:rFonts w:cs="Arial"/>
        </w:rPr>
        <w:tab/>
        <w:t xml:space="preserve">End date: </w:t>
      </w:r>
      <w:bookmarkStart w:id="8" w:name="AuditEndDate"/>
      <w:r w:rsidR="00A4268A">
        <w:rPr>
          <w:rFonts w:cs="Arial"/>
        </w:rPr>
        <w:t>2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Gracedale is owned by a Trust and operated by the Selwyn Foundation.  The service cares for up to 36 residents requiring rest home or hospital level care.  On the day of the audit the facility was full.  All residents were under the Age Related Care Contract.  </w:t>
      </w:r>
    </w:p>
    <w:p w:rsidRPr="00A4268A">
      <w:pPr>
        <w:spacing w:before="240" w:line="276" w:lineRule="auto"/>
        <w:rPr>
          <w:rFonts w:eastAsia="Calibri"/>
        </w:rPr>
      </w:pPr>
      <w:r w:rsidRPr="00A4268A">
        <w:rPr>
          <w:rFonts w:eastAsia="Calibri"/>
        </w:rPr>
        <w:t>The service is managed by a facility manager, who is a registered nurse with clinical management and aged care experience.  She is supported by a clinical coordinator (the role was vacant on audit day), registered nurses and the group residential care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Improvements are required around the assessment and management of pressure injuries and weight loss, integration of resident files, updating care plans when needs change and one aspect of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receives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embedded.  Data is collected, analysed, discussed and changes made as a result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w:t>
      </w:r>
    </w:p>
    <w:p w:rsidRPr="00A4268A" w:rsidP="00621629">
      <w:pPr>
        <w:spacing w:before="240" w:line="276" w:lineRule="auto"/>
        <w:rPr>
          <w:rFonts w:eastAsia="Calibri"/>
        </w:rPr>
      </w:pPr>
      <w:r w:rsidRPr="00A4268A">
        <w:rPr>
          <w:rFonts w:eastAsia="Calibri"/>
        </w:rPr>
        <w:t xml:space="preserve">Residents interviewed confirmed they were involved in the care planning and review process.  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There are medication policies in place that comply with current legislation and guidelines.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Meals are prepared on site by a contracted agency under the direction of a dietitian.  The menu is varied and appropriate.  Individual and special dietary needs are catered for.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and reactive maintenance issues are addressed.  Chemicals are stored safely throughout the facility.  There is sufficient space to allow the movement of residents around the facility using mobility aids.  Each resident wing has its own combined dining and lounge area.  The internal areas are able to be ventilated and heated.  The outdoor areas are safe and easily accessible.  Documented policies and procedures for the cleaning and laundry services are implemented with monitoring systems in place to evaluate the effectiveness of these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receives training around restraint minimisation and the management of challenging behaviour.  The service has appropriate procedures and documents for the safe assessment, planning, monitoring and review of restraint and enablers.  A register is maintained by the restraint coordinator.  Two residents were using restraints and two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8"/>
        <w:gridCol w:w="1280"/>
        <w:gridCol w:w="91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Gracedale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care staff (six caregivers, three registered nurses and one activities coordinator) confirmed their understanding of the Code.  Seven residents (four rest home level and three hospital level) and four relatives (three hospital level and one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six resident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chaplain is identified by staff and residents as an advocate.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promotes quality of life and involves residents in decisions about their care.  Resident preferences are identified during the admission and care planning process and include family involvement.  Interviews with residents confirmed their values and beliefs were considered.  Caregivers could describe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has established a spiritual and cultural advisory group.  This group includes the Foundation’s Pou Tikanga who provides guidance and input on Māori culture and practices.  </w:t>
            </w:r>
          </w:p>
          <w:p w:rsidR="00EB7645" w:rsidRPr="00BE00C7" w:rsidP="00BE00C7">
            <w:pPr>
              <w:pStyle w:val="OutcomeDescription"/>
              <w:spacing w:before="120" w:after="120"/>
              <w:rPr>
                <w:rFonts w:cs="Arial"/>
                <w:b w:val="0"/>
                <w:lang w:eastAsia="en-NZ"/>
              </w:rPr>
            </w:pPr>
            <w:r w:rsidRPr="00BE00C7">
              <w:rPr>
                <w:rFonts w:cs="Arial"/>
                <w:b w:val="0"/>
                <w:lang w:eastAsia="en-NZ"/>
              </w:rPr>
              <w:t>The Selwyn Way policy incorporates the principles of the Treaty of Waitangi, and procedures are in place for adhering to Māori cultural practices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and visiting is encouraged.  Links are established with disability and other community representative groups as requested by the resident/family.  Cultural needs are addressed in the care plan.  Residents who identified as Māori confirmed their cultural needs were being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(one facility manager, one clinical quality manager and one group residential care manager)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Registered nurses are able to attend DHB training and caregivers are provided with a training programme.  The service benchmarks with other Selwyn Foundation services and uses outcomes to improve resident outcomes.  Feedback is provided to staff via the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registered nurse on each shift.  Residents and family advised that caregivers are caring and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The sample of adverse events reviewed met this requirement.  Family members interviewed confirmed they are notified following a change of health status of their family member.  The service has exceeded the standard around ensuring that all staff are able to communicate effectively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is owned by a Trust and operated by the Selwyn Foundation.  The facility is certified to provide rest home and hospital (geriatric and medical) level care for up to 36 residents.  All rooms are dual-purpose and on audit day the service was at full capacity with seven rest home level residents and twenty-nine hospital level residents.  There were no residents on the medical component and all residents were on the Aged 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strategic plan 2013 to 2017 documents organisational goals.  These are reflected in the 2016 Gracedale business plan, which describes the vision, values and objectives of Gracedale and has been ratified by the board.  Goals for 2016 have been reviewed and the board was in the process of signing off the 2017 goals.  Annual goals are linked to the business plan and reflect regular reviews via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and has aged care experience.  She has worked at Gracedale since the service opened in a variety of roles and is supported by a clinical coordinator and the group residential care manager.  The clinical coordinator position was vacant and being recruited for at the time of the audit and the organisations clinical quality manager, who has previously been clinical coordinator at Gracedale is providing clinical support.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reports monthly to the board and provides a formal monthly report and has ongoing contact and liaison with the group residential care manager for Selwyn.</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or a senior registered nurse covers during the temporary absence of the facility manager with support from the residential group care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group residential care manager.  Discussions with the managers, the GP,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monthly.  Minutes are maintained.  Annual resident and relative surveys are completed with results communicated to residents and staff.  Survey results reflect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service's policies are reviewed at a national level by the clinical governance group with input from facility staff every two years.  Clinical guidelines are in place to assist care staff.  Updates to policies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This is utilised for service improvements.  Key performance areas are benchmarked against other Selwyn facilities.  Quality improvement plans (QIPs) are developed when service shortfalls are identified and these are monitored by group office.  Results are communicated to staff at staff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and mattress perimeter guards.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14 incident/accident forms (a sample from January 2017) identified that forms are fully completed and include follow-up by a registered nurse.  Neurological observations are completed for any suspected injury to the head.  The clinical coordinator (when the position is filled) and facility manager are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residential care manager was able to identify situations that would be reported to statutory authorities including (but not limited to) infectious diseases, serious accidents and unexpected death.  Section 31 notifications have been made around fractures and pressure injuries and an incident regarding a visitor.  A potential norovirus outbreak was reported but then determined not to be an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(two registered nurses, a cleaner/laundry staff member, the activities coordinator and two caregivers) included a comprehensive recruitment process which included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nursing staff and other health practitioner practising certificates are maintained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 training plan is implemented using a ‘train the trainer’ model where key staff are trained to provide education sessions on subjects that cover a number of required trainings.  Aspects of training are provided during full day training sessions.  Incidental training is provided according to identified need and at staff request.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There are implemented competencies for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There is at least one registered nurse on duty at all times.  A registered nurse from the management team is on call at all times.  Activities are provided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caregiver or nurse including designation.  Individual resident files were not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facility manager screens all potential residents prior to entry and records all admission enquires.  Residents and relatives interviewed confirmed they received information prior to admission and had the opportunity to discuss the admission agreement with the manager.  Six signed admission agreements were sighted.  The admission agreement form in use aligns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and ‘the yellow envelope’ is used.  The RNs report that they include copies of all the required information in the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(four rest home and eight hospital).  There are policies available for safe medicine management that meet legislative requirements.  The service has recently introduced an electronic medication management system.  All medication charts sampled met legislative prescribing requirements.  The medication charts reviewed identified that the GP had seen and reviewed the resident at least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Not all medication was stored correctly.  Registered nurses interviewed could describe their role regarding medication administration.  Administration records demonstrated that medications were administered as prescribed.  The service currently uses a robotic roll system for regular medications and blister packs for ‘as required’ medication.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in use and contraindications for each medication are documented.  There were two residents self-medicating on the day of audit.  The residents self-medicating had completed the necessary documentation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is within the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Gracedale are prepared and cooked on site by an external contractor.  There is a six-weekly seasonal menu, which was reviewed by a dietitian in April 2016.  Food is transported to the four resident dining areas via a bain-marie.  The temperature of the food is checked before leaving the kitchen.  The kitchen staff were not aware of all resident’s special dietary requirements on the day of audit (link 1.3.6.1).  Individual resident likes and dislikes are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very complimentary about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End cooked food temperatures are recorded daily.  The dishwasher is checked regularly by the chemical supplier.  Fridge temperatures are recorded for the fridges in each resident dining/servery area.</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prospective residents to the service is recorded.  Should this occur, the manager stated it would be communicated to the potential resident/family/whānau and the appropriate referrer.  Potential residents would only be declined if there were no beds available or if they could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The InterRAI assessment tool is implemented.  One of the five registered nurses are InterRAI trained.  InterRAI assessments have been completed for all residents.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described the support required to meet the resident’s goals and needs and identified allied health involvement under a comprehensive range of template headings (link 1.3.6.1).  The service has a number of care plans in use (eg, nursing care plan, lifestyle plan, short-term care plan, and wound care plan).  The care plans reviewed were resident focused however the information documented in the care planning documents was not always consistent (link 1.2.9.10).  The InterRAI assessment process informs the development of the resident’s care plan.  Residents and their family/whānau interviewed reported that they are involved in the care planning and review process.  Short-term care plans are in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 changes in condition are followed-up by a registered nurse as evidenced in residents' progress notes.  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short-term care plans were evidenced following a change in heath condition and linked to the nursing care plan documents (link 1.2.9.10).  Long-term nursing care plans were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the files sampled of referral for specialist advice.  Not all action plans documented by the dietitian in the progress notes had been implemented or documented in the nursing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Wound care documentation was reviewed for nine hospital residents with skin tears and one rest home resident with a blister (tracer).  Wound care plans and short-term care plans were completed for seven of ten wound care plans reviewed (six hospital and one rest home) and there was evidence of wound care specialist nurse and GP involvement in the management of these wounds.  Not all wound care documentation was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hospital residents with six facility acquired pressure injuries on the day of audit (one resident (tracer) with three pressure injuries - one stage-two, one stage-three and one stage-four, one resident with a stage-three resolving to stage-two pressure injury and two hospital residents with stage-two pressure injuries).  There has been GP involvement in the management of the pressure injuries but no wound care specialist nurse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could describe access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by the registered nurses.  Forms sighted included monthly blood pressure and weights, pain monitoring, nutritional and food monitoring and behaviour monitoring and turning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programme confirmed that independence was encouraged and choices were offered to residents.  The activity coordinator works 30 hours per week and is supported by four volunteers.  Volunteers primarily undertake one-to-one interventions.  A wide range of activities addressing the abilities and needs of different residents are offered.  The programme has a strong focus on individuality and independence.  The activities coordinator has utilised the resident groups’ interest in reminiscing and most activities relate in some way back to residents past experiences.  For example, the Fruity Friday involves seeing, tasting and smelling, and then tasting a fruit that may be less commonly known to the residents.  They are then encouraged to talk about a previous experience with the fruit, a recipe they or their family used using it, or a holiday where they saw or tasted this fruit or something similar.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an activity coordinator completes an assessment for each resident and an activity plan is completed.  A record is kept of individual resident’s activities and progress notes are completed monthly.  Reviews are conducted six monthly (or earlier should the residents condition determine) as part of the care plan evaluation/review.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they enjoyed the variety of activities and were satisfied with the activities programme.  Activities included outings as well as community involvement.  A library bus calls and the service owns a van.  The activities coordinator has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A resident meeting is held monthly where residents and relatives have input.  Minutes are recorded at the meeting, quality improvements identified and feedback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was evaluated at least six monthly or earlier if there is a change in health status.  The interventions and evaluations are documented in the same section of the nursing care plan with the evaluations written in narrative form below the interventions section.  Not all interventions are updated with a change in health condition.  There was at least a three monthly review by the GP.  In the resident files sampled reassessments have been completed at least six monthly using the InterRAI LTCF tool, and where a resident has had a significant change in health status.  Short-term care plans sighted were evaluated and resolved or added to the long-term care plan if the problem is ongoing, as sighted in resident files sampled (link 1.2.9.10).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Residents and/or their family/whānau are involved as appropriate when a referral to another service occurs.  Registered nurses interviewed described the referral process should they require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secured in designated locked cupboards.  Chemicals were labelled and safety datasheets were available throughout the facility and accessible to staff.  Safe chemical handling training has been provided.  Gloves, aprons, and goggles are available and staff were observed wearing personal protective clothing while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30 March 2017.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There are outside courtyard areas with seating, tables and shaded areas that are easily accessible.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Thirty-four resident rooms have full ensuite bathrooms and two resident rooms share an ensuite.  The ensuites and communal toilet facilities have privacy locks.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four wings have their own dining/lounge area and kitchenette which can be easily and safely accessed by the residents.  Furniture is appropriate to the setting and arranged in a manner, which enables residents to mobilise freely.  There is a large accessible lounge, which is used, for activities and a specific area for the hairdresser.  The outdoor courtyards are also used for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cleaning staff are rostered on 7 days per week.  They have access to a range of chemicals, cleaning equipment and protective clothing.  The standard of cleanliness is monitored through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all completed on site and dedicated laundry staff are rostered on 7 days per week.  Laundry and cleaning staff interviewed advised that they had received training in chemical safety, infection control and waste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products and laundry products are well labelled and kept in securely locked cupboards and chemical safety data guidelines are available.  </w:t>
              <w:br/>
              <w:t>The laundry and cleaning service has documented systems for monitoring the effectiveness and compliance with the service policies and procedures.  Residents interviewed were satisfied with the standard of cleanliness in the facility and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Emergency equipment is available at the facility.  There are adequate supplies in the event of a civil defence emergency including food, water, blankets and gas cooking.  Short-term back-up power for emergency lighting is in place.  There are sufficient first aid and dressing supplies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have current first aid certificates and at least one registered nurse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systems are in place including CCTV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Gracedale has an established infection control programme.  The infection control programme, its content and detail, is appropriate for the size, complexity and degree of risk associated with the service.  It is linked into the incident reporting system and the Selwyn KPIs.  A registered nurse is the designated infection control nurse with support from the clinical coordinator.  The quality meeting team is the infection control team.  Minutes are available for staff.  Audits have been conducted and include hand hygiene and infection control practices.  Education is provided for all new staff on orientation.  The Selwyn Foundation infection control programme was last reviewed in December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Gracedale is the designated infection control (IC) nurse.  There are adequate resources to implement the infection control programme for the size and complexity of the organisation.  The IC nurse and IC team (comprising all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Selwyn Foundation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Selwyn clinical governance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has occurred for staff.  The infection control nurse has completed infection control training through the Selwyn infection control coordinators bi-annual meeting/training days.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There have been no outbreaks since the previous audit.  The DHB and Public Health were informed as a precaution of a potential outbreak but no outbreak resulted.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using enablers and two hospital residents with three restraints (two bedrails and one brief restraint).  Restraint use is voluntary.</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of the restraint coordinator (a registered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The two residents’ files where restraint was in use were selected for review.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the two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and restraint use is discussed monthly at both registered nurse and staff meetings.  A review of two resident files identified that evaluations were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six monthly organisation-wide restraint coordinators meetings, monthly registered nurse meetings and monthly staff meetings.  Meeting minutes include (but are not limited to) a review of the residents using restraints or enablers, updates (if any) to the restraint programme and staff education and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99"/>
        <w:gridCol w:w="1280"/>
        <w:gridCol w:w="6456"/>
        <w:gridCol w:w="2900"/>
        <w:gridCol w:w="1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file that contains relevant information about the resident.  However several other documents pertaining to each resident are kept in various folders and areas and information is not consistent between the different documents.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folders in use in the clinical area containing resident information - (resident file, wound folder, short-term care plans, care givers information, daily care chart, bowel book and other monitoring records).  The resident information is not integrated and the information documented in each folder/area is not consistent.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(hospital tracer) with three PIs had interventions documented to manage the PIs in multiple areas including the progress notes, wound care plan, short-term care plan, nursing care plan, lifestyle care plan and in the evaluation comments of the long-term nursing  care plan.  The interventions to manage the PIs was not updated in all areas wound management was documented and the interventions noted were not consistent between documents.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 files are integrated.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to guide staff in all areas of safe medication management practices.  Medication is prescribed and dispensed correctly and staff complete the required medication checks.  On the day of audit a resident was being given 5mgs of morphine that was being drawn from a 10mg vial.  The unused part portion of the morphine vial was found secured in the locked drug cupboard.  The opened vial was covered with micropore tape.  The registered nurses interviewed advised that they were only using half a vial with each dose and this vial was being retained for use later that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part vial of morphine was found opened and covered with micropore tape in the controlled drug cupboard.  This vial was being retained for later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storage and disposal of medication complies with all legislative and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develop the care plans based on the InterRAI and other nursing assessments.  Where external support is required referrals are made to allied health care professionals.  In the files reviewed there was evidence of specialist support being accessed (speech and language therapists, mental health services, physiotherapist dietitian, podiatrist and wound care specialist nurse).  Not all interventions noted in the progress notes by the dietitian were transferred to the care plan or implemented for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Wounds are assessed by the registered nurse and a short-term care plan, and a wound care plan documented.  Not all wounds had the initial assessments and ongoing assessments fully documented.  One resident (hospital tracer) was identified by the service as having one stage-two pressure injury.  Review of photographs and documentation during the audit, indicated that the resident also had one stage-three pressure injury and one stage-four pressure injury.  One further resident had a wound that had not been identified as a pressure injury but photographic evidence, interviews with the RNs and review of the documentation identified that this was a stage-three pressure injury (now resolved to stage-two).  For both residents, staff had not correctly assessed/identified or graded the PI, and a comprehensive assessment had not been completed.  The GP had reviewed the wounds however no referral had been made to a wound nurse specialist.  Care plans and short-term care plans did not reflect the pressure injury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six files reviewed (hospital) for residents with weight loss did not have the interventions that were documented in the progress notes by the dietitian (one several weeks before and one three days before the audit) implemented or transferred to the nursing care plan or communicated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hospital resident with three skin tears had a combined wound care plan for the three wounds (skin tears) all sustained following a fall.  An initial assessment was documented for each wound; however, each wound did not have a separate management plan or a wound evaluation documented with each dressing change. </w:t>
            </w:r>
          </w:p>
          <w:p w:rsidR="00EB7645" w:rsidRPr="00BE00C7" w:rsidP="00BE00C7">
            <w:pPr>
              <w:pStyle w:val="OutcomeDescription"/>
              <w:spacing w:before="120" w:after="120"/>
              <w:rPr>
                <w:rFonts w:cs="Arial"/>
                <w:b w:val="0"/>
                <w:lang w:eastAsia="en-NZ"/>
              </w:rPr>
            </w:pPr>
            <w:r w:rsidRPr="00BE00C7">
              <w:rPr>
                <w:rFonts w:cs="Arial"/>
                <w:b w:val="0"/>
                <w:lang w:eastAsia="en-NZ"/>
              </w:rPr>
              <w:t>iii)  Five of ten wound care plans (hospital) did not have the initial assessment documented fully and an assessment of the wound consistently documented with each dressing change.</w:t>
            </w:r>
          </w:p>
          <w:p w:rsidR="00EB7645" w:rsidRPr="00BE00C7" w:rsidP="00BE00C7">
            <w:pPr>
              <w:pStyle w:val="OutcomeDescription"/>
              <w:spacing w:before="120" w:after="120"/>
              <w:rPr>
                <w:rFonts w:cs="Arial"/>
                <w:b w:val="0"/>
                <w:lang w:eastAsia="en-NZ"/>
              </w:rPr>
            </w:pPr>
            <w:r w:rsidRPr="00BE00C7">
              <w:rPr>
                <w:rFonts w:cs="Arial"/>
                <w:b w:val="0"/>
                <w:lang w:eastAsia="en-NZ"/>
              </w:rPr>
              <w:t>iv) Three of six pressure injuries had not been staged correctly and interventions to manage the pressure injury had not been fully and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interventions documented by allied healthcare staff in the progress notes are transferred to the nursing care plans and implemented and all changes to dietary requirements are communicated to the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there is a separate wound care management plan for each wound.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initial wound assessments, wound assessments and each dressing change are documented fully.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all PIs are fully assessed and correctly staged and the care plan interventions reflect the required pressure injury management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care plan records interventions and evaluations in the same section of the care plan.  Previous interventions documented in the nursing care plan are not always updated or deleted when the review identifies a change in care needs.  All evaluation comments need to be read to identify the current interventions required to meet the assessed care needs.  The lifestyle care plan (summary document) is not always updated with a change in care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Required changes to interventions are documented in the evaluation section but the interventions at the beginning of each section of the care plan are not updated when needs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Lifestyle care plans (summary document) had not been updated for five residents (four hospital and one rest home) with weight loss, a change in dietary requirement, wounds and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any changes made to the interventions as part of the care plan evaluation are updated and correctly recorded in all areas of the care planning documentation.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Gracedale Hospital</w:t>
    </w:r>
    <w:bookmarkEnd w:id="58"/>
    <w:r>
      <w:rPr>
        <w:rFonts w:cs="Arial"/>
        <w:sz w:val="16"/>
        <w:szCs w:val="20"/>
      </w:rPr>
      <w:tab/>
      <w:t xml:space="preserve">Date of Audit: </w:t>
    </w:r>
    <w:bookmarkStart w:id="59" w:name="AuditStartDate1"/>
    <w:r>
      <w:rPr>
        <w:rFonts w:cs="Arial"/>
        <w:sz w:val="16"/>
        <w:szCs w:val="20"/>
      </w:rPr>
      <w:t>1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