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Fitzroy Village Management (2016) Limited - Fitzroy of Merivale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Fitzroy Village Management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Fitzroy of Merivale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2017</w:t>
      </w:r>
      <w:bookmarkEnd w:id="7"/>
      <w:r w:rsidRPr="009418D4">
        <w:rPr>
          <w:rFonts w:cs="Arial"/>
        </w:rPr>
        <w:tab/>
        <w:t xml:space="preserve">End date: </w:t>
      </w:r>
      <w:bookmarkStart w:id="8" w:name="AuditEndDate"/>
      <w:r w:rsidR="00A4268A">
        <w:rPr>
          <w:rFonts w:cs="Arial"/>
        </w:rPr>
        <w:t>1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Fitzroy of Merivale provides rest home level care for up to 31 residents.  On the day of the audit there were 26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facility manager is a registered nurse.  She is appropriately qualified and experienced and is supported by a second registered nurse.  Residents and family interviewed were complimentary of the service they receive.  </w:t>
      </w:r>
    </w:p>
    <w:p w:rsidRPr="00A4268A">
      <w:pPr>
        <w:spacing w:before="240" w:line="276" w:lineRule="auto"/>
        <w:rPr>
          <w:rFonts w:eastAsia="Calibri"/>
        </w:rPr>
      </w:pPr>
      <w:r w:rsidRPr="00A4268A">
        <w:rPr>
          <w:rFonts w:eastAsia="Calibri"/>
        </w:rPr>
        <w:t>There were no areas identified where improvements are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Māori values and beliefs are understood and respected.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Human resources are managed in accordance with good employment practice.  An orientation programme and regular staff education and training are in place.  Registered nursing cover is available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two registered nurses are responsible for each stage of service provision.  A registered nurse assesses and reviews each resident’s needs, outcomes and goals at least six monthly.  Care plans demonstrated service integration.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had been reviewed by the general practitioner at least three monthly.  </w:t>
      </w:r>
    </w:p>
    <w:p w:rsidRPr="00A4268A" w:rsidP="00621629">
      <w:pPr>
        <w:spacing w:before="240" w:line="276" w:lineRule="auto"/>
        <w:rPr>
          <w:rFonts w:eastAsia="Calibri"/>
        </w:rPr>
      </w:pPr>
      <w:r w:rsidRPr="00A4268A">
        <w:rPr>
          <w:rFonts w:eastAsia="Calibri"/>
        </w:rPr>
        <w:t xml:space="preserve">A diversional therapist implements the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 xml:space="preserve">All meals and baking are provided by an off-site contractor.  Residents' food preferences and dietary requirements are identified at admission and accommodated.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Resident bedrooms have ensuites and are spacious and personalised.  </w:t>
      </w:r>
    </w:p>
    <w:p w:rsidRPr="00A4268A">
      <w:pPr>
        <w:spacing w:before="240" w:line="276" w:lineRule="auto"/>
        <w:rPr>
          <w:rFonts w:eastAsia="Calibri"/>
        </w:rPr>
      </w:pPr>
      <w:r w:rsidRPr="00A4268A">
        <w:rPr>
          <w:rFonts w:eastAsia="Calibri"/>
        </w:rPr>
        <w:t xml:space="preserve">Documented policies and procedures for the cleaning and laundry services are implemented with appropriate monitoring systems in place to evaluate the effectiveness of these services.  Linen is laundered off-site.  </w:t>
      </w:r>
    </w:p>
    <w:p w:rsidRPr="00A4268A">
      <w:pPr>
        <w:spacing w:before="240" w:line="276" w:lineRule="auto"/>
        <w:rPr>
          <w:rFonts w:eastAsia="Calibri"/>
        </w:rPr>
      </w:pPr>
      <w:r w:rsidRPr="00A4268A">
        <w:rPr>
          <w:rFonts w:eastAsia="Calibri"/>
        </w:rPr>
        <w:t xml:space="preserve">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 was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manager/registered nurse is the infection control coordinator and oversees infection control management for the facility.  The infection control coordinator has completed infection control education and coordinates education and training for staff.  There is a suite of infection control policies and guidelines to support practice.  Information obtained through surveillance is used to determine infection control activities and education needs within the facility.  There has been one outbreak which was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86"/>
        <w:gridCol w:w="1280"/>
        <w:gridCol w:w="88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The facility manager/registered nurse (RN) and three care staff interviewed (two caregivers, one diversional therapist (DT))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Six resident rest home files (five rest home and one respite care) contained signed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is included in the advance directive form which had been signed by the resident and general practitioner (GP) in all files reviewed. Copies of enduring power of attorney (EPOA) where available were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resident files reviewed had signed admission agreements.  The respite care resident had signed a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details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as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established with the local churches, Aged Concern and the local HDC advocacy services branch.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reception.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by the facility manager using a complaints register.  Six consumer complaints were received in 2016 and one in 2017 (year-to-date).  Documentation evidenced that these complaints were managed in accordance with HDC guidelines.  All complaints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facility manager/RN discusses aspects of the Code with residents and their family on admission.  Discussions relating to the Code are also held during the two-monthly residents’ meetings.  All six residents and two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All residents’ rooms include full ensuites.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The care staff interviewed reported that they value and encourage active participation and input from the family/whānau in the day-to-day care of the residents.  There were no residents living at the facility who identified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 regular education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family/whānau and/or their representative.  The staff demonstrated through interviews and observations that they are committed to ensuring each resident remains a person, even in a state of decline.  Beliefs and values are discussed and incorporated into the residents’ care plans, evidenced in all six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onsite seven days a week.  If not onsite, an RN is rostered on call.  Residents are reviewed by a general practitioner (GP) every three months at a minimum.  All resident rooms are of a high standard with full ensuites.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regularly.  Residents and family/whānau interviewed reported that they are very satisfied with the services received.  A resident/family satisfaction survey is scheduled to be completed in February 2017.</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They also receive and a specialist nursing service that is in close proximity to the property and also provides the residents’ meals through a contracted provider.  Physiotherapy services are provided as needed.  A van is available for regular outings.  A podiatrist is available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allows for close relationships between the staff and residents.  A DT is onsite four days a week.  Caregivers and one of the directors assist with activities in the DTs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Fitzroy of Merivale can provide rest home level care in for up to 31 residents in serviced units.  Services are provided under the aged residential care agreement and the respite care agreement.  On the day of the audit there were 26 residents including six subsidised residents.  There was one respite resident.  All but nine of the 29 units are licensed to occupy (LTO) including two double units.  </w:t>
            </w:r>
          </w:p>
          <w:p w:rsidR="00EB7645" w:rsidRPr="00BE00C7" w:rsidP="00BE00C7">
            <w:pPr>
              <w:pStyle w:val="OutcomeDescription"/>
              <w:spacing w:before="120" w:after="120"/>
              <w:rPr>
                <w:rFonts w:cs="Arial"/>
                <w:b w:val="0"/>
                <w:lang w:eastAsia="en-NZ"/>
              </w:rPr>
            </w:pPr>
            <w:r w:rsidRPr="00BE00C7">
              <w:rPr>
                <w:rFonts w:cs="Arial"/>
                <w:b w:val="0"/>
                <w:lang w:eastAsia="en-NZ"/>
              </w:rPr>
              <w:t>A philosophy, mission, vision and values are in place.  The strategic plan (2016-2020) is regularly reviewed with the facility manager/owner, director/owner and an external consultant.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was purchased in April 2016.  One owner/director is the facility manager/RN.  She has 25 years of public health nursing experience and has maintained over eight hours of professional development relating to the management of an aged care facility.  She is supported by the second owner/director (her spouse) who is responsible for maintenance and health and safety.  A second (part-time) RN is rostered to support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RN is responsible in the absence of the facility manager/RN and director/maintenance.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maintained, which is understood and being implemented as confirmed during interviews with the facility manager, director, care staff, one kitchen hand, and one cleaner.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current good practice and meet legislative requirements.  Policies have been updated to reflect processes around InterRAI and pressure injuries. They are regularly reviewed as per the document review schedule.  New policies and updates to existing policies are discussed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bruising, falls, infections) and is collated and analysed.  An internal audit programme is being implemented.  Quality data and outcomes are discussed with staff in the two monthly quality meetings.  Where improvements are identified, corrective actions are documented, implemented and signed off by the facility manager.  An external consultant is assisting the owners/directors.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have been updated to reflect new legislative requirements.  Interviews were conducted with the health and safety officer who also is one of the directors.  He has attended health and safety training through Worksafe NZ.  Staff health and safety training begins during their induction to the service.  Health and safety is a regular topic covered in the two-monthly quality/staff meetings.  Actual and potential risks are documented on a hazard register, which identifies risk ratings and documents actions to eliminate or minimise the risk.  Contractors are inducted into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organisation's quality and risk management programme.  Fifteen accident/incident forms were reviewed.  Each event involving a resident reflected a clinical assessment and follow-up by a registered nurse.  Neurologic observations were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statutory responsibilities in regards to essential notification with examples provided.  The DHB and public health authorities were notified during a norovirus outbreak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reviewed (one RN, three caregivers, one diversional therapist) included evidence of the recruitment process including reference checking, signed employment contracts and job descriptions,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current practising certificates for health professionals is maintained.   Both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One RN is onsite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experienced RN who works full time and shares weekend responsibilities with a second RN.  She is supported by staff RN who covers weekends and assists during the weekdays on an ‘as needed’ basis.  There are adequate numbers of caregivers available with one caregiver rostered during the night shift and three caregivers rostered on the am and pm shifts.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separate cleaner is employed.  Caregivers are responsible for laundry duties.  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with information held in four separate folders.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sighted aligned with all contractual requirements.  Exclusions from the service are included in the admission agreement.  A short-term agreement is signed for short-stay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Annual in-service education on medication is provided.  Medications (blister packs) are checked on delivery against the medication chart and any discrepancies fed back to the pharmacy. All medications are stored safely.  Standing orders are not used.  Five self-medicating residents had a self-medication competency completed and authorised by the GP. The medication fridge is monitored daily.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 GP generates handwritten medication charts.  All medication charts had photo identification and an allergy status. The GP reviews the medication charts at least three monthly. The administration signing sheets reviewed identified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and baking are provided by an off-site contracted service.  A dietitian approves the four-seasonal menu.  The contractor receives resident dietary information including dislikes and food allergies.  Meals are transported to the facility kitchenette and served by the morning and afternoon staff who are employed by the service.  Any special dietary requirements are delivered in named containers.  Residents and family members interviewed were very complimentary about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Serving temperatures are checked on delivery and recorded.  Fridge temperatures are monitored and recorded daily.  All perishable goods were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kitchenhands involved in the preparation of breakfasts and serving of meals have attended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contractor and health and safety representative visited the service to monitor aspects of meal delivery, food safety standards and service satisfaction with the meals. The manager/RN provides regular written updates on resident dietary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for all admissions, including respite care.   An InterRAI assessment is undertaken within 21 days of admission and six monthly, or earlier due to health changes for long-term residents under the ARCC.  Resident needs and supports are identified through the ongoing assessment process in consultation with the resident and significant others, and form the basis of the care plan.  The long-term care plans reflect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reviewed were resident-focused and individualised.  Care plans documented the required supports/needs to reflect the resident’s current health status.  Relatives interviewed confirmed they were involved in the care planning process.  Long-term care plans evidenced resident and/or relative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sighted for short-term needs and these were either resolved or transferred to the long-term care plan.  A short-term care plan is developed for respite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dietitian, mental health services and speech language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family/whānau contact form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Wound management policies and procedures are in place.  A wound assessment and treatment form and evaluation notes (includes dressing type) were in place for three residents with wounds.  There were no pressure injuries. The service access wound nurse specialists and district nurses for advice on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food and fluid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(DT) is employed for 3.5 days per week and has been in the role four years.   She has a current first aid certificate and attends on-site in-services.  One director (maintenance/health and safety officer) coordinates and implements activities on Fridays.  The activities are provided from 10.30am to 5.30pm and involve a variety of recreational activities such as news reading, word games, crafts, quizzes, exercises, manicures and movies.  There are weekly entertainers and community visitors including pastoral visitors and students. There are monthly church services.  Residents are encouraged to maintain links in the community including outings for lunch, cafes, shopping attending concerts and garden visits.  There are weekly outings and/or mystery drives.  Activities offered are meaningful and meet the residents’ recreational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soon after admission.  Each resident has an individual activity plan which is reviewed at least six monthly. 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and a long-term care plan developed.  Care plans had been evaluated six monthly for four of five long-term resident files reviewed.  One resident has not been at the service six months.  Written evaluations identified if the desired goals had been met or unmet.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There was documented evidence of re-assessments from respite care to rest home level of care in two of five long-term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Chemical bottles sighted have correct manufacturer labels.  Chemicals are stored in a locked cupboard.  Personal protective clothing is available for staff and was observed being worn by staff carrying out their duties on the day of audit.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director/health and safety officer has responsibility for the maintenance and repairs of the facility.  Maintenance requests are written into a log book and addressed on a daily basis.  Essential contractors are available 24 hours.  There is a planned maintenance schedule in place.  Electrical testing is completed annually.  Clinical equipment has been calibrated.  Environmental improvements include the refurbishment of two resident rooms, landscaping of gardens, improved storage areas and purchase of new appliances.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interior of the facility provides a boutique style environment including lighting and furnishings.  There is sufficient space for residents to safely mobilise using mobility aids and communal areas are easily accessible.  There is safe access to the well maintained landscaped outdoor areas and award winning gardens.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sensor mats and pressure injury resources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shower, toilet and hand basin ensuites.  All ensuite surfaces are of materials that meet infection control practice and allow for ease of cleaning.   Residents confirm staff respect their privacy while attending to their hygiene cares. There is a communal/visitor disabled toilet near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29 large single rooms.  There is adequate room for residents to safely manoeuvre using mobility aids.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an open plan dining area and main lounge with a piano and computer station with internet access.  The second lounge has a library and Sky TV available.  There are seating alcoves near the main entrance.  Doors from the second lounge open out onto a patio area.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is laundered off-site and collected daily. There were adequate linen supplies sighted on the day of audit.  The facility has a laundry with a defined clean/dirty area.  Personal clothing is laundered on-site.  The laundry has a commercial washing machine.  Laundry processes are monitored by the chemical provider, through internal audits and resident meetings and surveys.  There is a dedicated cleaner Monday to Friday.  A cleaning schedule is maintained.  The cleaner’s trolley is kept in a locked area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All bedrooms have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(manager/RN) oversees infection control for the facility and is responsible for the collation of infection events.  She is supported by the part-time RN.  The infection control programme is reviewed annually.  Infection control discussion is an agenda item at the two monthly quality meetings. 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MoH infection control training (November 2016).  There is access to infection control expertise within the DHB, wound nurse specialist, gerontology nurse specialist, public health, and laboratory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aged care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and as part of the annual training schedule.  A refresher was provided on outbreak management in August 2016 following an outbreak.  Hand hygiene competencies are completed during orientation and annually (by “shoulder tap” audits).  The chemical provider provides education on chemical safety and food safety.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analysis and audit outcomes are discussed at the quality meetings.  The service completes monthly and annual comparisons of infection rates for types of infections.  Trends are identified, analysed and preventative measures put in place. The GPs monitor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outbreak in July 2016.  Relevant authorities were notified.  Documentation sighted included an outbreak log and staff debrief.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No residents were using restraints or enablers.  The facility manager is the designated restraint coordinator. She is knowledgeable regarding this role.</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The caregivers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Fitzroy Village Management (2016) Limited - Fitzroy of Merivale</w:t>
    </w:r>
    <w:bookmarkEnd w:id="58"/>
    <w:r>
      <w:rPr>
        <w:rFonts w:cs="Arial"/>
        <w:sz w:val="16"/>
        <w:szCs w:val="20"/>
      </w:rPr>
      <w:tab/>
      <w:t xml:space="preserve">Date of Audit: </w:t>
    </w:r>
    <w:bookmarkStart w:id="59" w:name="AuditStartDate1"/>
    <w:r>
      <w:rPr>
        <w:rFonts w:cs="Arial"/>
        <w:sz w:val="16"/>
        <w:szCs w:val="20"/>
      </w:rPr>
      <w:t>1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