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Taurima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Taurima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2017</w:t>
      </w:r>
      <w:bookmarkEnd w:id="7"/>
      <w:r w:rsidRPr="009418D4">
        <w:rPr>
          <w:rFonts w:cs="Arial"/>
        </w:rPr>
        <w:tab/>
        <w:t xml:space="preserve">End date: </w:t>
      </w:r>
      <w:bookmarkStart w:id="8" w:name="AuditEndDate"/>
      <w:r w:rsidR="00A4268A">
        <w:rPr>
          <w:rFonts w:cs="Arial"/>
        </w:rPr>
        <w:t>25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Taurima Rest Home provides rest home level care for up to 30 residents.  On the day of the audit there were 20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 xml:space="preserve">The facility manager is a registered nurse.  She is appropriately qualified and experienced and is supported by a second registered nurse.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that improvements are required around, essential notification requirements, staff attendance at inservice education, care interventions and wound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and regular staff education and training are in place.  Registered nursing cover is available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take responsibility for managing entry to the service.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Residents interviewed confirmed that they were involved in the care planning and review process.  Each resident has access to an individual and group activities programme.  The group programme is varied and interesting with a focus on community involvement and maintaining residents’ past and present interests.  Medicines are stored and managed appropriately in line with legislation and guidelines.  General practitioners review residents at least three monthly or more frequently if needed.  Meals are prepared on 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All rooms are single, and personalised.  The environment is warm and comfortable.  There is adequate room for residents to move freely about the home using mobility aids.  Communal areas are well utilised for group and individual activity.  The dining room and lounge seating placement encourages social interaction.  Other outdoor areas are safe and accessible for the rest home residents.  There is adequate equipment for the safe delivery of care.  All equipment is well maintained and on a planned schedule.  All chemicals are stored safely. The staff maintain a tidy, and clean environment.  Systems and supplies are in place for essential, emergency and security services.  There is a staff member on duty at all times with a current first aid/CPR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officer (registered nurse)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9"/>
        <w:gridCol w:w="1280"/>
        <w:gridCol w:w="91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Five care staff interviewed (one facility manager/registered nurse (RN), one staff RN, two caregivers, one activities officer) could describe how the Code is incorporated into their everyday delivery of care.  Staff receive training about the Code during their induction to the service, which continues through the staff education and training programme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residents’ records sighted contained signed consent forms to receive care.  All residents interviewed stated that they had been given adequate information to support them to make an informed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as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Aged Concern and the local churches.  Residents regularly visit nearby cafes and shops and frequently take a taxi to town with taxi discounts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facility manager using a complaints register.  Seven consumer complaints were received in 2016 and one in 2017 (year-to-date).  Documentation evidenced that these complaints were managed in accordance with HDC.  All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RN discusses aspects of the Code with residents and their family on admission.  Discussions relating to the Code are also held during the resident meetings.  All six residents and three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and shower doors.  All residents’ rooms are single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Maori health policy is documented for the service.  The care staff interviewed reported that they value and encourage active participation and input from the family/whānau in the day-to-day care of the residents.  There was one resident living at the facility who was Māori, which was identified on their care plan.  This individual was interviewed and confirmed that their values and beliefs were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Māori staff who are available for consultation on Māori values and beliefs.  Education on cultural awareness begins during the new employee’s induction to the service and continues as a regular education topic provided by Tui Ora Health (link 1.2.7.5).  The caregivers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five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(link 1.2.7.5),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available either onsite (Monday – Friday) or on call 24 hours a day, seven days a week.  Residents are reviewed by a general practitioner (GP) every three months at a minimum.  All resident rooms are of a good standard.  There is one shared room with an adjoining lounge for a married couple.</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Residents and family/whānau interviewed reported that they are either satisfied or very satisfied with the services received.  A resident/family satisfaction survey is completed annually and confirmed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which includes (but is not limited to) specialists visits (geriatrician, mental health, Parkinson’s specialist, wound care specialist and hospice services).  Physiotherapy services are provided as needed.  A van is available for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allows for close relationships between the staff and residents.  The cook has been employed for 23 years and residents were very complimentary about the food.  An activities coordinator is onsite five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informed of the resident`s status, including any events adversely affecting the resident.  Twenty accident/incident forms reviewed reflected documented evidence of families being informed following an adverse event.  A communication sheet held in the front of the resident’s file also documents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Taurima Rest Home provides care for up to 30 residents at rest home level of care.  At the time of the audit, there were 20 residents.  One resident was a private boarder.</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owned by two individuals who live in Palmerston North and visit the facility every month.  A business plan (2017 – 2019) is in place that includes goals, objectives and actions with identified responsibilities and timeframes.  Goals are regularly reviewed by the owners and facility manager via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who is a registered nurse with a current practising certificate.  She has worked in aged care for 20 years, and has been in her current role for two years.  She is assisted by a fulltime registered nurse.  The facility manager has maintained at least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RN is responsible in the absence of the facility manager. This individual has worked at the facility for the past 19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maintained, which is understood and being implemented as confirmed during interviews with the facility manager, care staff, one cook, and one maintenance staff.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good practice and meet legislative requirements.  Policies have been updated to reflect processes around InterRAI and pressure injuries.  They are regularly reviewed as per the document review schedule.  New policies and updates to existing policies are discussed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bruising, falls, and challenging behaviours) and is collated and analysed.  An internal audit programme is being implemented.  From October 2016, the service commenced ensuring that data and results are discussed with staff and evidenced in staff meetings.  Where improvements are identified, corrective actions are documented, implemented and signed off by the facility manager.  An external consultant is assisting the facility around sustainability and growth.</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have been reviewed since the new legislation has come into effect.  Interviews were conducted with the health and safety officer who is the facility manager.  She has not attended any formal health and safety training (link 1.2.7.5).  Staff receive health and safety training, which begins during their induction to the service.  Health and safety is a regular topic covered in the monthly staff meetings.  Actual and potential risks are documented on the hazard register, which identifies risk ratings and documents actions to eliminate or minimise the risk.  Contractors are inducted into the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(link 1.2.3.6).  Twenty accident/incident forms were reviewed.  Each event involving a resident reflected a clinical assessment and follow-up by a registered nurse.  Neurologic observations were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aware of the responsibility to contact the DHB and public health authorities during a norovirus outbreak in August 2016 but was unaware of the various situations that required completion of a section 31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Six staff files reviewed (one RN, one cook, four caregivers) included evidence of the recruitment process, signed employment contracts, reference checking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although attendance rates are below average.  Both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A minimum of one RN is on site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an experienced RN who works four days a week, two days that are designated as clinical and two days that are designated for management responsibilities.  She is supported by staff RN who is onsite three days a week.  Both RNs share the on call roster which provides RN cover 24/7.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with a minimum of one caregiver rostered during the night shift and two caregivers rostered on the am and pm shifts.  Caregivers are expected to do the laundry.  Staffing is flexible to meet the acuity and needs of the residents.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with information held in four separate folders.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facility manager screens all potential residents prior to entry.  Residents and relatives interviewed confirmed they received information prior to admission and had the opportunity to discuss the admission agreement with the facility manager.  The admission agreement form in use aligns with the requirements of the ARRC services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One resident file was reviewed who had required transfer to public hospital and the file evidenced that family were informed, and that all transfer documentation was completed as per policy and had been sent with the resident on transfer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There was evidence of three monthly reviews by the GP.  All RNs and caregivers that administer medicines are competent and have received medication management training.  The facility uses a blister packed medication management system for the packaging of all tablets.  The RN on duty reconciles the delivery and documents this.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There is a four-weekly seasonal menu which has been reviewed by a dietitian.  Dietary needs are known with individual likes and dislikes accommodated.  All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and food temperatures prior to the food being served to the residents are recorded.  All food services staff have completed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InterRAI assessments have been completed for all residents.  Care plans sampled were developed based on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long-term care plans reviewed described the support required to meet the resident’s goals and needs. The InterRAI assessment process informs the development of the resident’s care plan.  Residents and their family/whānau interviewed reported that they are involved in the care planning and review process.  Short-term care plans are in use for changes in health status.  A care plan guide (summary) for caregivers is held in separate folder at the nurse’s station. These summaries were evidenced to be updated at the time of the six monthly review or sooner if there is a change to the resident’s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short-term care plans were in place for three residents with wounds (one surgical wound, one chronic vascular leg ulcer and one skin abrasion).  Not all wound assessments were fully completed.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a registered nurse and caregivers demonstrated an understanding of the individualised needs of residents.  Not all care plan interventions demonstrated interventions to meet residents’ needs (link to 1.3.5.2).  There was evidence of pressure injury prevention interventions such as food and fluid charts, resident involvement in the exercise and activity programme, management of incontinence,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officer who works 25 hours per week Monday to Friday.  The weekend programme is delivered by care staff and volunteers.  The activity programme is planned around meaningful everyday activities such as gardening, baking, reading, walking group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input into review of the programme via the resident survey and this feedback is considered in the development of the resident’s activity programme. The activity programme is developed weekly. A copy of the activity plan is displayed on the noticeboard. The activity officer also reminds residents of the activities that are occurring daily.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which can accommodate mobility aids.  Outings occur weekly and the residents also reported attending the local Age Concern venue on Fridays for afternoon tea, games and dancing.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activities documentation in the resident files sampled reflected the specific requirements of each resident.  Residents interviewed evidenced that the activity programme had a focus on maintaining independence and reducing boredom.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was a change in health status.  There was at least a three monthly review by the GP.  All changes in health status were documented and followed up.  Reassessments have been completed using InterRAI for all residents who have had a significant change in health status.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registered nurse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The service is meeting the relevant requirements as identified by relevant legislation and standards.  The physical environment allows easy access for the residents and promotes independence for residents with mobility aids.  There is a dining area, separate lounge area and smaller seating areas for more private conversations.  There is a part-time maintenance person who carries out daily maintenance requests and records corrective actions in the maintenance book. There are monthly internal building and external building maintenance schedules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 The one resident who smokes has a designated outdoor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 and showering facilities.  Privacy locks are in place.  Vacant/in use signage is on the toilet/shower rooms.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room and separate lounge for the residents.  The main dining room is adjacent to the kitchen area.  All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designated persons who complete the cleaning and laundry service.  The cleaning trolley is well equipped and all chemical bottles are labelled.  Protective wear including plastic aprons, gloves and goggles are available in the laundry.  On the day of audit, staff were observed wearing correct protective clothing when carrying out their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clean/dirty flow. The chemical provider monitors the effectiveness of laundry processes.  Residents expressed satisfaction with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with sufficient numbers attending this mandatory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is appropriate for the size and complexity of the service.  There is an infection control responsibility policy that included chain of responsibility and an infection control officer job description.  A registered nurse is the IC officer.  The infection control programme is linked into the quality management system (link 1.2.3.6).  The infection control meetings are combined with staff meetings.  The IC programme is set out annually with input from the infection control officer, facility manager and the 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is appropriately configured for the size of the facility.  The facility also has access to an infection control nurse specialist, public health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 the infection control standard SNZ HB 8134:2008, legislation and good practice.  These are regularly reviewed.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staff.  The infection control officer (registered nurse) has appropriate training for the role.  The induction package includes specific training around hand washing and standard precautions and training was provided both at orientation and as part of the annual training schedule.  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at the monthly staff meeting.  Individual resident infection control summaries are maintained.  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outbreak in August 2016. Contact and liaison with the public health department and notification to the DHB were evidenced.  Information provided to staff, residents and families during the outbreak was sighted in the infection control folder.  A debrief meeting was held and minutes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or enablers.  The facility manager is the designated restraint coordinator.  She is knowledgeable regarding this role.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around restraint minimisation and managing challenging behaviours with sufficient numbers attending this mandatory training.  Staff also complete an annual restraint competency assessment.  The caregivers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0"/>
        <w:gridCol w:w="1280"/>
        <w:gridCol w:w="5232"/>
        <w:gridCol w:w="3330"/>
        <w:gridCol w:w="16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Public health authorities were notified during a norovirus outbreak (August 2016).  Police were involved following an incident in 2016 but a section 31 report was not completed.  The facility manager was unclear of the circumstances which required completion of a section 31 report to HealthCERT.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not clear regarding the variety of situations that required the completion of a section 31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statutory and/or regulatory obligations in relation to essential notification reporting are understood.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established and reviewed annually.  Individual staff attendance records are maintained.  The education and training hours available to staff exceeds eight hours per annum.  Staff completion rates for a selection of mandatory topics are below acceptable limits.  Another gap in education and training is identified around formal training for the health and safety officer.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selection of mandatory in-services in 2016 reflected attendance rates of only seven participants (eg, care plans, communication, challenging behaviours, abuse/neglect).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designated health and safety officer has not attended any formal health and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staff attend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ii) Ensure the health and safety officer/manager attends health and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care plans reviewed documented the interventions and support required to meet the residents’ needs.  Short-term care plans were evidenced in use for infection, wound care and changes to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a urinary catheter was not fully documented in one resident’s care plan and the management of epilepsy/seizures was not documented in care plan for one resident with a diagnosis of epilepsy.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document the interventions and level of support required to meet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three wound assessments reviewed was evidenced to be fully completed.  Short-term wound management plans are in place for all wounds; however the timeframe for review of wounds/dressing changes required was not documented.  Long-term care plans are in place for all residents.  One chronic wound was included in the resident’s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three wound assessments and short-term wound management plans sampled did not document the timeframe for review.  Wounds were evidenced to be reviewed by an RN at least weekly.  Therefore, the risk rating has been assessed as low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assessments are fully completed to include the timeframe for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Taurima Rest Home</w:t>
    </w:r>
    <w:bookmarkEnd w:id="58"/>
    <w:r>
      <w:rPr>
        <w:rFonts w:cs="Arial"/>
        <w:sz w:val="16"/>
        <w:szCs w:val="20"/>
      </w:rPr>
      <w:tab/>
      <w:t xml:space="preserve">Date of Audit: </w:t>
    </w:r>
    <w:bookmarkStart w:id="59" w:name="AuditStartDate1"/>
    <w:r>
      <w:rPr>
        <w:rFonts w:cs="Arial"/>
        <w:sz w:val="16"/>
        <w:szCs w:val="20"/>
      </w:rPr>
      <w:t>25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