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Edith Cavell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Edith Cavell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February 2017</w:t>
      </w:r>
      <w:bookmarkEnd w:id="7"/>
      <w:r w:rsidRPr="009418D4">
        <w:rPr>
          <w:rFonts w:cs="Arial"/>
        </w:rPr>
        <w:tab/>
        <w:t xml:space="preserve">End date: </w:t>
      </w:r>
      <w:bookmarkStart w:id="8" w:name="AuditEndDate"/>
      <w:r w:rsidR="00A4268A">
        <w:rPr>
          <w:rFonts w:cs="Arial"/>
        </w:rPr>
        <w:t>10 February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Edith Cavell Lifecare in Sumner Christchurch is certified to provide hospital and rest home level care for 63 residents. On the day of this certification audit there were 55 residents. There is a retirement village adjacent to the facility but this was not included in this audit. </w:t>
      </w:r>
    </w:p>
    <w:p w:rsidRPr="00A4268A">
      <w:pPr>
        <w:spacing w:before="240" w:line="276" w:lineRule="auto"/>
        <w:rPr>
          <w:rFonts w:eastAsia="Calibri"/>
        </w:rPr>
      </w:pPr>
      <w:r w:rsidRPr="00A4268A">
        <w:rPr>
          <w:rFonts w:eastAsia="Calibri"/>
        </w:rPr>
        <w:t xml:space="preserve">This certification audit against the Health and Disability Services Standards and the provider’s contract with the district health board (DHB), included observation of the environment, interviews with a senior manager, the management team and staff, review of documentation and interviews with residents and their families and a general practitioner. </w:t>
      </w:r>
    </w:p>
    <w:p w:rsidRPr="00A4268A">
      <w:pPr>
        <w:spacing w:before="240" w:line="276" w:lineRule="auto"/>
        <w:rPr>
          <w:rFonts w:eastAsia="Calibri"/>
        </w:rPr>
      </w:pPr>
      <w:r w:rsidRPr="00A4268A">
        <w:rPr>
          <w:rFonts w:eastAsia="Calibri"/>
        </w:rPr>
        <w:t>There is one area that requires improvement relating to assessments.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Staff were noted to be interacting with residents in a respectful manner. </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A comprehensive Māori health plan and related policies guide care. There is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 xml:space="preserve">The service has linkages with a range of specialist health care providers, which contributes to ensuring services provided are of an appropriate standard. </w:t>
      </w:r>
    </w:p>
    <w:p w:rsidRPr="00A4268A">
      <w:pPr>
        <w:spacing w:before="240" w:line="276" w:lineRule="auto"/>
        <w:rPr>
          <w:rFonts w:eastAsia="Calibri"/>
        </w:rPr>
      </w:pPr>
      <w:r w:rsidRPr="00A4268A">
        <w:rPr>
          <w:rFonts w:eastAsia="Calibri"/>
        </w:rPr>
        <w:t>There is a complaints process that is understood by residents, family members and staff and meets the requirements of the Code.  The manager maintains a current register.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organisation has a documented business and strategic plan in place which is reviewed regularly. The governing body is Heritage Lifecare Limited. The quality and compliance manager was onsite during the audit. A facility manager and clinical nurse manager oversee the day to day management of the facility. They both have position descriptions and the necessary skills, knowledge and experience to perform their job. They are supported by the head office management team and regular reports flow between the two. </w:t>
      </w:r>
    </w:p>
    <w:p w:rsidRPr="00A4268A">
      <w:pPr>
        <w:spacing w:before="240" w:line="276" w:lineRule="auto"/>
        <w:rPr>
          <w:rFonts w:eastAsia="Calibri"/>
        </w:rPr>
      </w:pPr>
      <w:r w:rsidRPr="00A4268A">
        <w:rPr>
          <w:rFonts w:eastAsia="Calibri"/>
        </w:rPr>
        <w:t>There is a quality and risk management system in place. This includes quality and clinical indicators, an internal audit programme and management of risks. A suite of policies and procedures are current and reviewed regularly. The adverse events reporting system and corrective action planning links to the quality improvement system to manage any risks, and ensures quality improvement occurs. Quality improvement data collation is managed at the facility in an easy to read graph and text format. A written report is provided to head office weekly.</w:t>
      </w:r>
    </w:p>
    <w:p w:rsidRPr="00A4268A">
      <w:pPr>
        <w:spacing w:before="240" w:line="276" w:lineRule="auto"/>
        <w:rPr>
          <w:rFonts w:eastAsia="Calibri"/>
        </w:rPr>
      </w:pPr>
      <w:r w:rsidRPr="00A4268A">
        <w:rPr>
          <w:rFonts w:eastAsia="Calibri"/>
        </w:rPr>
        <w:t xml:space="preserve">There are appropriate systems for the recruitment, appointment and management of all staff. Formal orientation and an ongoing education and training plan is provided/developed for all employees.  Staff have a current performance appraisal and this process occurs annually. </w:t>
      </w:r>
    </w:p>
    <w:p w:rsidRPr="00A4268A">
      <w:pPr>
        <w:spacing w:before="240" w:line="276" w:lineRule="auto"/>
        <w:rPr>
          <w:rFonts w:eastAsia="Calibri"/>
        </w:rPr>
      </w:pPr>
      <w:r w:rsidRPr="00A4268A">
        <w:rPr>
          <w:rFonts w:eastAsia="Calibri"/>
        </w:rPr>
        <w:t>The facility manager prepares the roster based on residents’ needs, and safe staffing levels. The roster includes registered nurses, caregivers, laundry, cleaning, kitchen and activities staff. The current roster is adequate for the number of residents and their level of need.</w:t>
      </w:r>
    </w:p>
    <w:p w:rsidRPr="00A4268A">
      <w:pPr>
        <w:spacing w:before="240" w:line="276" w:lineRule="auto"/>
        <w:rPr>
          <w:rFonts w:eastAsia="Calibri"/>
        </w:rPr>
      </w:pPr>
      <w:r w:rsidRPr="00A4268A">
        <w:rPr>
          <w:rFonts w:eastAsia="Calibri"/>
        </w:rPr>
        <w:t>A resident information management system is in place and information is entered in a timely and accurate manner. Information of a private or personal nature is maintained in a secure manner that is not publicly accessible or observable.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(NASC), to ensure access to the facility is appropriate and well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Registered nurses are on duty 24 hours each day in the facility and are supported by care and allied health staff and designated general practitioners.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 </w:t>
      </w:r>
    </w:p>
    <w:p w:rsidRPr="00A4268A" w:rsidP="00621629">
      <w:pPr>
        <w:spacing w:before="240" w:line="276" w:lineRule="auto"/>
        <w:rPr>
          <w:rFonts w:eastAsia="Calibri"/>
        </w:rPr>
      </w:pPr>
      <w:r w:rsidRPr="00A4268A">
        <w:rPr>
          <w:rFonts w:eastAsia="Calibri"/>
        </w:rPr>
        <w:t xml:space="preserve">The planned activity programme, overseen by a trained diversional therapist,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only and care staff are second checkers,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A food safety plan and policies guide food service delivery, supported by staff with food safety qualifications. The kitchen was well organised, clean and meets food safety standards.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been purpose built with additional rooms added over the years. It is well maintained. Residents’ rooms are kept clean, tidy, well ventilated and at a comfortable temperature. There are a number of communal areas which provide a variety of spaces for residents to use. There are enough toilets and bathrooms for the number of residents. The building has a current building warrant of fitness.</w:t>
      </w:r>
    </w:p>
    <w:p w:rsidRPr="00A4268A">
      <w:pPr>
        <w:spacing w:before="240" w:line="276" w:lineRule="auto"/>
        <w:rPr>
          <w:rFonts w:eastAsia="Calibri"/>
        </w:rPr>
      </w:pPr>
      <w:r w:rsidRPr="00A4268A">
        <w:rPr>
          <w:rFonts w:eastAsia="Calibri"/>
        </w:rPr>
        <w:t xml:space="preserve">Easily accessed, safe and well maintained outside areas are provided for residents’ use. </w:t>
      </w:r>
    </w:p>
    <w:p w:rsidRPr="00A4268A">
      <w:pPr>
        <w:spacing w:before="240" w:line="276" w:lineRule="auto"/>
        <w:rPr>
          <w:rFonts w:eastAsia="Calibri"/>
        </w:rPr>
      </w:pPr>
      <w:r w:rsidRPr="00A4268A">
        <w:rPr>
          <w:rFonts w:eastAsia="Calibri"/>
        </w:rPr>
        <w:t xml:space="preserve">There are systems in place for the management of waste and hazardous substances by staff who have been trained in this area. </w:t>
      </w:r>
    </w:p>
    <w:p w:rsidRPr="00A4268A">
      <w:pPr>
        <w:spacing w:before="240" w:line="276" w:lineRule="auto"/>
        <w:rPr>
          <w:rFonts w:eastAsia="Calibri"/>
        </w:rPr>
      </w:pPr>
      <w:r w:rsidRPr="00A4268A">
        <w:rPr>
          <w:rFonts w:eastAsia="Calibri"/>
        </w:rPr>
        <w:t>Emergency procedures are documented and available in several places around the facility. Regular fire drills occur and staff are well trained to respond in any emergency. There is a generator available and adequate supplies for civil defence and other emergencies. Appropriate security arrangements are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a commitment to restraint minimisation and safe practice. Safe policies and procedures are implemented. One restraint was in use and six enablers at the time of this audit. Enablers are used as a voluntary measure and aid independence. Written consents were on each resident`s record reviewed. A comprehensive assessment, approval and monitoring process was implemented. Regular reviews occur. Restraint is only used as a last resort when all other options have been explored. The restraint coordinator maintains the restraint register.</w:t>
      </w:r>
    </w:p>
    <w:p w:rsidRPr="00A4268A">
      <w:pPr>
        <w:spacing w:before="240" w:line="276" w:lineRule="auto"/>
        <w:rPr>
          <w:rFonts w:eastAsia="Calibri"/>
        </w:rPr>
      </w:pPr>
      <w:r w:rsidRPr="00A4268A">
        <w:rPr>
          <w:rFonts w:eastAsia="Calibri"/>
        </w:rPr>
        <w:t>Staff interviewed are fully informed and are aware of the difference between restraint and enabler use. Staff have access to training on safe and effective alternatives to restraint at orientation and annually.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appropriately trained infection control coordinator, aims to prevent and manage infections. There are terms of reference for the infection control committee which meets monthly. Specialist infection prevention and control advice is accessed from the district health board (DHB), microbiologist, infectious diseases physician, and group clinical advisory committee. The programme is reviewed annually.</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36"/>
        <w:gridCol w:w="1280"/>
        <w:gridCol w:w="91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Edith Cavell Lifecare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to residents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and invasive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record.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aware of how to access the Advocacy Service and examples of their involvement were discussed at staff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supports the philosophy of Quality of Life, caring, and living life to the highest level of independence.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family/whanau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which aligns with Right 10 of the Code.  The facility manager and/or clinical nurse manager commences initial investigation of complaints with input as required from the organisation’s quality and compliance manager.  Complaints forms are visible and available at the front desk.  A complaints procedure is provided to residents within the information pack on entry to the service. Ten complaints in 2016 and two in 2017 were included on the register. All have been resolved to the satisfaction of the complainant. The complaints register was up to date. Family and residents interviewed confirmed they knew the process for complaints, but none had reason to or made a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 being made aware of the Code and the Nationwide Health and Disability Advocacy service (Advocacy Service) by the facility manager as part of admission process, from information provided, and from discussion with staff. The Code is displayed in the rest home and hospital entrance way (in English, Maori and sign language), at reception, in front of the office and nurses’ stations, the dining rooms and lift. Consumers receive safe services of an appropriate standard that comply with consumer rights legislation. Services are provided in a manner that respects consumer rights, facilitates informed choice, minimises harm, and acknowledges cultural and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while attending to personal cares, and by ensuring resident information was held securely and privately. Most residents have a private room and three rooms are shared by couples.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staff ensuring individual care plans are followed, attending community activities, arranging their own visits to the doctor,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is part of the orientation programme for staff, and is then provided on an annual basis, as confirmed in staff and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whanau to Māori residents.  There is a current Māori health plan developed with input from cultural advisers.  Current access to resources includes the contact details of local cultural advisers. Guidance on tikanga best practice is available and is supported by staff who identify as Māori in the facility. Currently there are no Maori residents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 these. Resident’s personal preferences, required interventions and special needs were included in all care plans reviewed. Residents had dietary preferences and spiritual preferences documented. Interviews confirmed that staff ensure the residents’ needs are met. A resident satisfaction questionnaire includes evaluation of how well residents’ cultural needs are met and this supports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A general practitioner interviewed also expressed satisfaction with the standard of services provided to residents.  The induction process for staff includes education related to professional boundaries and expected behaviours. All registered nurses have records of completion of the required training on professional boundaries.  Staff are provided with a Code of Conduct in both the staff orientation booklet and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diabetes nurse specialist, physiotherapists, occupational therapists, wound care specialist,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internal and external education through Careerforce training and there is evidence of a compulsory plan for all staff where staff are booked to attend education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extra fluid rounds, prompt answering of call bells, regular toileting rounds, and pressure injury prevention strategies.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can be accessed via the DHB or Older Persons Health when required. Staff knew how to do so, although reported this was rarely required due to all residents able to speak English. Staff able to provide interpretation as and when needed and the use of family members, and communication cards are available for any potential residents for whom English is not their first language.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Edith Cavell Lifecare is privately owned by a company. On the days of the audit there were 31 hospital and 24 rest home residents. The governing body is Heritage Lifecare Limited. The audit and compliance manager was on-site during the audit and verified the flow of information between the facility, head office and the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clinical nurse manager oversee the day to day operation and both have been in their position for less than six months. The transition from the previous team to the new management has been guided effectively by head office. Residents, family and staff confirmed no disruption and were very happy with the new team and input from Heritage Lifecare Limited. </w:t>
            </w:r>
          </w:p>
          <w:p w:rsidR="00EB7645" w:rsidRPr="00BE00C7" w:rsidP="00BE00C7">
            <w:pPr>
              <w:pStyle w:val="OutcomeDescription"/>
              <w:spacing w:before="120" w:after="120"/>
              <w:rPr>
                <w:rFonts w:cs="Arial"/>
                <w:b w:val="0"/>
                <w:lang w:eastAsia="en-NZ"/>
              </w:rPr>
            </w:pPr>
            <w:r w:rsidRPr="00BE00C7">
              <w:rPr>
                <w:rFonts w:cs="Arial"/>
                <w:b w:val="0"/>
                <w:lang w:eastAsia="en-NZ"/>
              </w:rPr>
              <w:t>The mission, vision and values of the organisation are documented in the strategic plan and quality plan. These are reviewed annually when progress against the objectives and goals in these documents are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facility manager (who is a RN), the clinical nurse manger assumes the role with assistance from the southern operations manager and the audit and compliance manager. Both have suitable experience for the roles. The facility manager will cover for the clinical nurse manager. At all times there is cover available from head office, should the need arise.</w:t>
            </w:r>
          </w:p>
          <w:p w:rsidR="00EB7645" w:rsidRPr="00BE00C7" w:rsidP="00BE00C7">
            <w:pPr>
              <w:pStyle w:val="OutcomeDescription"/>
              <w:spacing w:before="120" w:after="120"/>
              <w:rPr>
                <w:rFonts w:cs="Arial"/>
                <w:b w:val="0"/>
                <w:lang w:eastAsia="en-NZ"/>
              </w:rPr>
            </w:pPr>
            <w:r w:rsidRPr="00BE00C7">
              <w:rPr>
                <w:rFonts w:cs="Arial"/>
                <w:b w:val="0"/>
                <w:lang w:eastAsia="en-NZ"/>
              </w:rPr>
              <w:t>Staff members interviewed reported that the facility manager, clinical nurse manager and registered nurses are providing stability as the management team of the facility and their respective areas of responsibility. Staff reported that they are approachable with an ‘open-door’ philosophy. This was observed during the audit. There is evidence of reporting to head office and the board at all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quality and risk management plan specific for the facility, which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quality and compliance manager, in consultation with the organisation’s facility managers, coordinates the development and review of all policies and procedures for the facility, and includes these changes as agenda items in all meetings. All documents reviewed during the audit were current, and some were in the process of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coordinates the quality and staff committee, which meets monthly through the year. A comprehensive agenda includes matter arising from last meeting, completed audits for the past month, adverse events, corrective actions, infection control and restraint minimisation, a report from health and safety committee, complaints and compliments, quality improvements, staff training, any ongoing developments, review of documents and staff issues. The separate health and safety committee meets every month. There is an organisation wide weekly operations report to head office that covers all aspects of service input and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implements the internal audit calendar, or delegates audits to staff to complete. Those reviewed are detailed and complete with recommendations identified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month an analyses of quality data is collated by the clinical nurse manager and graphs of the adverse events are on display in the staff room. The report is also sent to head office who in turn report to the board. Staff members interviewed confirmed that they receive information about the events which occur in the facility and how these are managed. They also demonstrated an understanding of their responsibilities in the quality system appropriate to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risk management plan, which identifies the risks to the business and includes strategies to mitigate these. The plan is very detailed and specifies the roles and responsibilities of all staff. This is reviewed regularly at the same time as the review of the quality plan and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is in place for any shortfalls. Those reviewed that have been completed were closed out. Three were still pending as these relate to January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and accident policy includes the essential notifications and statutory and regulatory reporting, including the requirement to report pressure injuries of category 3 under section 31 of the Health and Disability Services (Safety) Act. At interview, the facility manager demonstrated clearly her responsibility in this area and explained the process, for example, for pressure injury reporting. </w:t>
            </w:r>
          </w:p>
          <w:p w:rsidR="00EB7645" w:rsidRPr="00BE00C7" w:rsidP="00BE00C7">
            <w:pPr>
              <w:pStyle w:val="OutcomeDescription"/>
              <w:spacing w:before="120" w:after="120"/>
              <w:rPr>
                <w:rFonts w:cs="Arial"/>
                <w:b w:val="0"/>
                <w:lang w:eastAsia="en-NZ"/>
              </w:rPr>
            </w:pPr>
            <w:r w:rsidRPr="00BE00C7">
              <w:rPr>
                <w:rFonts w:cs="Arial"/>
                <w:b w:val="0"/>
                <w:lang w:eastAsia="en-NZ"/>
              </w:rPr>
              <w:t>Adverse events are reported and recorded on appropriate event reporting forms. The data from collated adverse events is summarised by the facility monthly and reported at meetings, to head office and in graph form on the staff room notice board. Staff confirmed that they report events using the reporting forms, or verbally to the facility manager. They understand the importance of reporting and recording events.</w:t>
            </w:r>
          </w:p>
          <w:p w:rsidR="00EB7645" w:rsidRPr="00BE00C7" w:rsidP="00BE00C7">
            <w:pPr>
              <w:pStyle w:val="OutcomeDescription"/>
              <w:spacing w:before="120" w:after="120"/>
              <w:rPr>
                <w:rFonts w:cs="Arial"/>
                <w:b w:val="0"/>
                <w:lang w:eastAsia="en-NZ"/>
              </w:rPr>
            </w:pPr>
            <w:r w:rsidRPr="00BE00C7">
              <w:rPr>
                <w:rFonts w:cs="Arial"/>
                <w:b w:val="0"/>
                <w:lang w:eastAsia="en-NZ"/>
              </w:rPr>
              <w:t>General practitioners (GPs) are notified of adverse events when they occur and this was confirmed during interview with one GP who visits the service and when reviewing event forms. Residents and family members reported that they are also notified of events and appreciate receiving this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for recruitment, appointment and management of staff reflect current legislation and good employment practice. All recruitment is managed by the facility manager with the assistance of the organisation’s southern operations manager if required. Both were interviewed during the audit. All appropriate checks are undertaken during the appointment process and this was confirmed during a review of personnel files. Professional qualifications are verified and monitored annually.  Records reviewed verify current practising certificates / professional registrations for registered nurses, medical practitioners and allied health professionals. Personnel files reviewed confirmed that performance appraisals are also current. </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training and education programme is available for all staff. This includes an orientation and induction programme and ongoing annual training. The facility and clinical nurse managers maintain a training register, which includes essential training, competencies, and other in-service and external training attended by staff. The programme includes wound and pressure injury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organisation wide staffing policy is in place to alter staffing according to the skill mix and residents’ needs.  Rosters are the responsibility of the facility manager with input from the clinical nurse manager. Three weeks of non-consecutive rosters reviewed verified adequate care staff on every shift throughout the facility and across all shifts over 24 hours and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cooks, eight kitchen hands, three cleaners, two laundry staff, a maintenance person, and a contracted gardener.  Two diversional therapists five days a week provide oversight of activity plans and programmes. Both managers are RN’s and share on call.  The current staffing levels meet the requirements of residents. </w:t>
            </w:r>
          </w:p>
          <w:p w:rsidR="00EB7645" w:rsidRPr="00BE00C7" w:rsidP="00BE00C7">
            <w:pPr>
              <w:pStyle w:val="OutcomeDescription"/>
              <w:spacing w:before="120" w:after="120"/>
              <w:rPr>
                <w:rFonts w:cs="Arial"/>
                <w:b w:val="0"/>
                <w:lang w:eastAsia="en-NZ"/>
              </w:rPr>
            </w:pPr>
            <w:r w:rsidRPr="00BE00C7">
              <w:rPr>
                <w:rFonts w:cs="Arial"/>
                <w:b w:val="0"/>
                <w:lang w:eastAsia="en-NZ"/>
              </w:rPr>
              <w:t>Residents, family, staff and the GP interviewed reported that there are sufficient numbers of suitably skilled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w:t>
            </w:r>
          </w:p>
          <w:p w:rsidR="00EB7645" w:rsidRPr="00BE00C7" w:rsidP="00BE00C7">
            <w:pPr>
              <w:pStyle w:val="OutcomeDescription"/>
              <w:spacing w:before="120" w:after="120"/>
              <w:rPr>
                <w:rFonts w:cs="Arial"/>
                <w:b w:val="0"/>
                <w:lang w:eastAsia="en-NZ"/>
              </w:rPr>
            </w:pPr>
            <w:r w:rsidRPr="00BE00C7">
              <w:rPr>
                <w:rFonts w:cs="Arial"/>
                <w:b w:val="0"/>
                <w:lang w:eastAsia="en-NZ"/>
              </w:rPr>
              <w:t>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families/whanau are encouraged to visit the facility prior to admission and meet with facility manager (FM) and clinical nurse manager (CNM). They are also provided with written information about the service and the admission process. The service operates a waiting list for entry. The organisation seeks updates information from NASC and the GPs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  At the time of transition between services, appropriate information, including medication records, 24 hours of medication, 24 hours of progress notes, wound charts (where applicable), and advance directives are provided for the ongoing management of the resident. A checklist ensures this occurs. All referrals are documented in the progress notes. An example reviewed of a patient recently transferred to the local acute care facility, showed a planned, co-ordinated transfer to the acute care service and transition back again. Family members of the resident reported being kept well informed during the transfers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‘Medimap’ and a blister pack system was observed on the days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registered nurse against the prescription. All medications sighted were within current use by dates. Clinical pharmacist input is provided 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 monthly stock checks and accurate entries. Standing orders are rarely used but processes are in place to enable safe administration and appropriate documentation.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 review is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self-administer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clinical nurse manager and recorded on an incident form. The resident and/or the designated representative are advised. There is a process for comprehensive analysis of any medication errors, and compliance with this process was verified.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the kitchen manager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satisfaction surveys and resident meeting minutes. Residents were observed to be given sufficient time to eat their meal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service is advised to ensure the prospective resident and family are supported to find an appropriate care alternative. If the needs of a resident change and they are no longer suitable for the services offered, a referral for reassessment to the NASC service is made and a new placement found, in consultation with the resident and family/whanau. Examples of this occurring were discussed with the Facility Manager.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skin integrity, nutritional screening, falls risk, continence assessment, activity assessment and depression scale, as a means to identify any deficits and to inform care planning. The sample of care plans reviewed had an integrated range of resident related information. All residents’ files reviewed during the audit had a current interRAI assessment.</w:t>
            </w:r>
          </w:p>
          <w:p w:rsidR="00EB7645" w:rsidRPr="00BE00C7" w:rsidP="00BE00C7">
            <w:pPr>
              <w:pStyle w:val="OutcomeDescription"/>
              <w:spacing w:before="120" w:after="120"/>
              <w:rPr>
                <w:rFonts w:cs="Arial"/>
                <w:b w:val="0"/>
                <w:lang w:eastAsia="en-NZ"/>
              </w:rPr>
            </w:pPr>
            <w:r w:rsidRPr="00BE00C7">
              <w:rPr>
                <w:rFonts w:cs="Arial"/>
                <w:b w:val="0"/>
                <w:lang w:eastAsia="en-NZ"/>
              </w:rPr>
              <w:t>Residents’ six monthly interRAI assessments were being completed after the six month care plan review in the lifestyle care plans reviewed, rather than the interRAI assessment occurring before and therefore informing the care plan review, as required D16.3d.</w:t>
            </w:r>
          </w:p>
          <w:p w:rsidR="00EB7645" w:rsidRPr="00BE00C7" w:rsidP="00BE00C7">
            <w:pPr>
              <w:pStyle w:val="OutcomeDescription"/>
              <w:spacing w:before="120" w:after="120"/>
              <w:rPr>
                <w:rFonts w:cs="Arial"/>
                <w:b w:val="0"/>
                <w:lang w:eastAsia="en-NZ"/>
              </w:rPr>
            </w:pPr>
            <w:r w:rsidRPr="00BE00C7">
              <w:rPr>
                <w:rFonts w:cs="Arial"/>
                <w:b w:val="0"/>
                <w:lang w:eastAsia="en-NZ"/>
              </w:rPr>
              <w:t>It is noted that the interventions triggered in the interRAI assessment were included in all the care plans reviewed therefore mitigating the risk.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skin integrity, nutritional screening, falls risk, continence assessment, activity assessment and depression scale, as a means to identify any deficits and to inform care planning. The sample of care plans reviewed had an integrated range of resident related information. All residents’ files reviewed during the audit had a current interRAI assessment.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and physiotherapist interviewed, verified that medical input is sought in a timely manner, that medical orders are followed, and care is of a high standard at Edith Cavell Lifecare. RNs and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trained diversional therapist (DT), and one diversional therapy assistant who has nearly completed the diversional therapy training through Careerforce.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their needs change,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musicians playing music and singing, planned outings, individual outings, volunteers coming to read to residents, and children’s groups coming to visit.</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minuted residents’ meeting and indicated residents’ input is sought and responded to. Resident and family satisfaction surveys demonstrated satisfaction with the programme and that information is used to improve the range of activities offered. Residents interviewed confirmed they find the programme encourages them to reach their highest level of independence within the limitations they have.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or as residents needs change. Six-monthly interRAI reassessments are occurring, or more frequently as residents’ needs change.  Evaluations are documented by the RN. Where progress is different from expected, the service responds by initiating changes to the plan of care. Examples of short term care plans were consistently reviewed for urinary tracts infections (UTIs), falls, infections, any changes in the resident’s normal status and progress evaluated as clinically indicated at least weekly and according to the degree of risk noted during the assessment process. Other plans, such as wound management plans were evaluated each time the dressing was changed.  Residents and families/whanau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All residents have the choice of their own GP. If the need for other non-urgent services are indicated or requested, the GP or RN sends a referral to seek specialist input.  Copies of referrals were sighted in residents’ files, including to the physiotherapist, needs assessor, gerontology clinical nurse specialist, diabetes nurse specialist, wound care specialist, geriatrician, and older persons’ mental health services. Referrals are followed up on a regular basis by the registered nurse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for the safe and appropriate storage and disposal of waste and hazardous substances.  The health and safety manual includes policy around safe storage and handling of chemicals.  Waste is appropriately managed.  All chemicals sighted were stored securely.  Staff interviewed demonstrated knowledge of handling chemicals and were observed using personal protective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building warrant of fitness expires 1January 2018. There have been no changes to the building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during this audit reported that they find the environment is maintained to a high standard at all times and it is well presented. There is a regular system for preventative maintenance, relevant electrical safety testing, and calibration of equipment. This was maintained and current. All hazards have been identified in the hazard register. </w:t>
            </w:r>
          </w:p>
          <w:p w:rsidR="00EB7645" w:rsidRPr="00BE00C7" w:rsidP="00BE00C7">
            <w:pPr>
              <w:pStyle w:val="OutcomeDescription"/>
              <w:spacing w:before="120" w:after="120"/>
              <w:rPr>
                <w:rFonts w:cs="Arial"/>
                <w:b w:val="0"/>
                <w:lang w:eastAsia="en-NZ"/>
              </w:rPr>
            </w:pPr>
            <w:r w:rsidRPr="00BE00C7">
              <w:rPr>
                <w:rFonts w:cs="Arial"/>
                <w:b w:val="0"/>
                <w:lang w:eastAsia="en-NZ"/>
              </w:rPr>
              <w:t>Outside areas were easily accessed from the facility and were well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mix of residents’ rooms with full or toilet only ensuites, and other rooms with hand-washing, soap dispensers and paper towels only. There are sufficient showers and toilets for residents. Separate visitor and staff toilets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are spacious enough to allow care to be provided and for the safe use and manoeuvring of mobility aids.  Transfer of residents can occur and equipment can be transferred between rooms.  Mobility aids can be managed in communal rooms.</w:t>
            </w:r>
          </w:p>
          <w:p w:rsidR="00EB7645" w:rsidRPr="00BE00C7" w:rsidP="00BE00C7">
            <w:pPr>
              <w:pStyle w:val="OutcomeDescription"/>
              <w:spacing w:before="120" w:after="120"/>
              <w:rPr>
                <w:rFonts w:cs="Arial"/>
                <w:b w:val="0"/>
                <w:lang w:eastAsia="en-NZ"/>
              </w:rPr>
            </w:pPr>
            <w:r w:rsidRPr="00BE00C7">
              <w:rPr>
                <w:rFonts w:cs="Arial"/>
                <w:b w:val="0"/>
                <w:lang w:eastAsia="en-NZ"/>
              </w:rPr>
              <w:t>Rooms were observed to be personalised with furnishings, photos and other items and the service encourages residents to bring in personal items.</w:t>
            </w:r>
          </w:p>
          <w:p w:rsidR="00EB7645" w:rsidRPr="00BE00C7" w:rsidP="00BE00C7">
            <w:pPr>
              <w:pStyle w:val="OutcomeDescription"/>
              <w:spacing w:before="120" w:after="120"/>
              <w:rPr>
                <w:rFonts w:cs="Arial"/>
                <w:b w:val="0"/>
                <w:lang w:eastAsia="en-NZ"/>
              </w:rPr>
            </w:pPr>
            <w:r w:rsidRPr="00BE00C7">
              <w:rPr>
                <w:rFonts w:cs="Arial"/>
                <w:b w:val="0"/>
                <w:lang w:eastAsia="en-NZ"/>
              </w:rPr>
              <w:t>There was room to store mobility aids such as walking frames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several communal lounge/dining areas.  There are smaller seating areas for residents and families within the facility.  Furniture in all areas is arranged to allow residents to freely mobilise.  Residents and families interviewed verified that the facility has sufficient space and residents may stay in their own areas or use any of the communal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completed on site in a spacious laundry.  A survey of residents and family confirmed satisfaction with cleaning and laundry services.  The service has secure cupboards for the storage of cleaning chemicals.  All chemicals sighted were labelled.  Material safety datasheets are displayed.  Cleaning processes are monitored for effectiveness and compliance with the service policies and procedures.  Cleaning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staff member on duty at all times with a first aid certificate.  Emergency plans are accessible to staff and includes management of all potential emergency situations.  The organisation has policies and procedures for civil defence and other emergencies. There are enough supplies available, such as dressing and first aid equipment.  There is an approved evacuation plan for the facility.  Fire evacuation training and drills are conducted six monthly.   </w:t>
            </w:r>
          </w:p>
          <w:p w:rsidR="00EB7645" w:rsidRPr="00BE00C7" w:rsidP="00BE00C7">
            <w:pPr>
              <w:pStyle w:val="OutcomeDescription"/>
              <w:spacing w:before="120" w:after="120"/>
              <w:rPr>
                <w:rFonts w:cs="Arial"/>
                <w:b w:val="0"/>
                <w:lang w:eastAsia="en-NZ"/>
              </w:rPr>
            </w:pPr>
            <w:r w:rsidRPr="00BE00C7">
              <w:rPr>
                <w:rFonts w:cs="Arial"/>
                <w:b w:val="0"/>
                <w:lang w:eastAsia="en-NZ"/>
              </w:rPr>
              <w:t>Emergency equipment, water and food are available in a separate area and routinely checked.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systems are in place. The call system functions throughout and when activated is responded to promptly. The service has a visitors’ book at reception for all visitors, including contractors, to sign in and out.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are provided with adequate natural light, ventilation, and an environment that is maintained at a safe and comfortable temperature. Temperatures are routinely monitored.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clinical co-ordinator/infection prevention and control officer (IPC).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designated IPC coordinator, whose role and responsibilities are defined in a job description. Infection control matters, including surveillance results, are reported monthly to the clinical nurse manager, facility manager, and tabled at the quality/risk committee meeting.  This committee includes the facility manager, clinical nurse manager, IPC coordinator, and the health and safety officer.</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(IPC) coordinator has appropriate skills, knowledge and qualifications for the role, and has been in this role at Edith Lifecare since November 2016 and in a previous facility as an IPC co-ordinator for a number of years. She has undertaken IPC training and attended relevant study days, as verified in training records sighted.  Well-established local networks with the infection control nurse specialist, Older Persons’ Health are available and expert advice from the laboratory is available if additional support/information is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 There has not been an outbreak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 the requirements of the infection prevention and control standard and current accepted good practice. Policies are reviewed yearly and include appropriate referencing.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infection prevention and control at orientation and ongoing education sessions. Education is provided by suitably qualified registered nurses, and the infection control coordinator. Content of the training is documented and evaluated to ensure it is relevant, current and understood.  A record of attendance is maintained.</w:t>
            </w:r>
          </w:p>
          <w:p w:rsidR="00EB7645" w:rsidRPr="00BE00C7" w:rsidP="00BE00C7">
            <w:pPr>
              <w:pStyle w:val="OutcomeDescription"/>
              <w:spacing w:before="120" w:after="120"/>
              <w:rPr>
                <w:rFonts w:cs="Arial"/>
                <w:b w:val="0"/>
                <w:lang w:eastAsia="en-NZ"/>
              </w:rPr>
            </w:pPr>
            <w:r w:rsidRPr="00BE00C7">
              <w:rPr>
                <w:rFonts w:cs="Arial"/>
                <w:b w:val="0"/>
                <w:lang w:eastAsia="en-NZ"/>
              </w:rPr>
              <w:t>When an increase in infection incidence has occurred, there is evidence that additional staff education has been given.</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and advice about remaining in their room if they are unwell. Families confirmed they are given education if their family/whanau member is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individual infection register in the resident’s clinical record, infection reporting form, and resident management system. The infection control coordinator reviews all reported infections.  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nurse manager, facility manager and head office.</w:t>
            </w:r>
          </w:p>
          <w:p w:rsidR="00EB7645" w:rsidRPr="00BE00C7" w:rsidP="00BE00C7">
            <w:pPr>
              <w:pStyle w:val="OutcomeDescription"/>
              <w:spacing w:before="120" w:after="120"/>
              <w:rPr>
                <w:rFonts w:cs="Arial"/>
                <w:b w:val="0"/>
                <w:lang w:eastAsia="en-NZ"/>
              </w:rPr>
            </w:pPr>
            <w:r w:rsidRPr="00BE00C7">
              <w:rPr>
                <w:rFonts w:cs="Arial"/>
                <w:b w:val="0"/>
                <w:lang w:eastAsia="en-NZ"/>
              </w:rPr>
              <w:t>New infections and any required management plan are discussed at handover, to ensure early intervention occurs. Surveillance results are then shared with staff at the registered nurses and general staff meetings, as confirmed in meeting minutes sighted and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for the use of restraints and enablers which comply with the standard. All alternatives to restraints are considered and used before any restraint is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was one restraint in use and six residents with an enabler. The restraint used was a convex mattress sleeve and the enablers bed loops. The restraint coordinator is the clinical nurse manager and was interviewed in relation to this standard. She has attended all training provided at the facility. She demonstrated her understanding of restraint and enabler procedures. </w:t>
            </w:r>
          </w:p>
          <w:p w:rsidR="00EB7645" w:rsidRPr="00BE00C7" w:rsidP="00BE00C7">
            <w:pPr>
              <w:pStyle w:val="OutcomeDescription"/>
              <w:spacing w:before="120" w:after="120"/>
              <w:rPr>
                <w:rFonts w:cs="Arial"/>
                <w:b w:val="0"/>
                <w:lang w:eastAsia="en-NZ"/>
              </w:rPr>
            </w:pPr>
            <w:r w:rsidRPr="00BE00C7">
              <w:rPr>
                <w:rFonts w:cs="Arial"/>
                <w:b w:val="0"/>
                <w:lang w:eastAsia="en-NZ"/>
              </w:rPr>
              <w:t>Restraints and enablers are approved, monitored and reviewed. Two residents’ files (of a person using an enabler and a person using a restraint), were reviewed and all documentation was current and as described in the organisation’s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is the restraint co-ordinator and heads the restraint committee. The restraint committee is made up of the facility manager, clinical nurse manager, a registered nurse, and one care staff member. The committee is responsible for the approval of the use of all restraint processes, as defined in the restraint minimisation and safe practice policies and procedures. This was evidenced in the minutes of the restraint meetings, review of residents’ records and interview with the restraint coordinator, and the clinical manager. There are clear lines of accountability for the approval group to follow. All restraints have to be approved, and the overall use of restraints is being monitored and analysed.</w:t>
            </w:r>
          </w:p>
          <w:p w:rsidR="00EB7645" w:rsidRPr="00BE00C7" w:rsidP="00BE00C7">
            <w:pPr>
              <w:pStyle w:val="OutcomeDescription"/>
              <w:spacing w:before="120" w:after="120"/>
              <w:rPr>
                <w:rFonts w:cs="Arial"/>
                <w:b w:val="0"/>
                <w:lang w:eastAsia="en-NZ"/>
              </w:rPr>
            </w:pPr>
            <w:r w:rsidRPr="00BE00C7">
              <w:rPr>
                <w:rFonts w:cs="Arial"/>
                <w:b w:val="0"/>
                <w:lang w:eastAsia="en-NZ"/>
              </w:rPr>
              <w:t>Restraint training is provided at least annually. Any staff that were unable to attend completed a questionnaire and this was recorded. Staff during interview demonstrated knowledge in restraint minimisation and the processes for monitoring restraints and enablers.</w:t>
            </w:r>
          </w:p>
          <w:p w:rsidR="00EB7645" w:rsidRPr="00BE00C7" w:rsidP="00BE00C7">
            <w:pPr>
              <w:pStyle w:val="OutcomeDescription"/>
              <w:spacing w:before="120" w:after="120"/>
              <w:rPr>
                <w:rFonts w:cs="Arial"/>
                <w:b w:val="0"/>
                <w:lang w:eastAsia="en-NZ"/>
              </w:rPr>
            </w:pPr>
            <w:r w:rsidRPr="00BE00C7">
              <w:rPr>
                <w:rFonts w:cs="Arial"/>
                <w:b w:val="0"/>
                <w:lang w:eastAsia="en-NZ"/>
              </w:rPr>
              <w:t>The convex mattress sleeve on the resident’s bed is working effectively. The facility manager sends all details to head office relating to restraint and enabler use in the weekly report.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is documented on an assessment form that includes all requirements of the standard. One record of the person using a restraint was reviewed. A convex sleeve mattress is in use for this resident. Restraint minimisation and safe practice consent approval form was sighted and had been signed by the family member with enduring power of attorney (EPOA) and by the general practitioner. A plan was developed and implemented for the individual resident. Monitoring frequency was documented and completed as requested on the plan. Six monthly review with outcomes documented were reviewed and this was signed off by the restraint co-ordinator after discussion at the restraint committee.</w:t>
            </w:r>
          </w:p>
          <w:p w:rsidR="00EB7645" w:rsidRPr="00BE00C7" w:rsidP="00BE00C7">
            <w:pPr>
              <w:pStyle w:val="OutcomeDescription"/>
              <w:spacing w:before="120" w:after="120"/>
              <w:rPr>
                <w:rFonts w:cs="Arial"/>
                <w:b w:val="0"/>
                <w:lang w:eastAsia="en-NZ"/>
              </w:rPr>
            </w:pPr>
            <w:r w:rsidRPr="00BE00C7">
              <w:rPr>
                <w:rFonts w:cs="Arial"/>
                <w:b w:val="0"/>
                <w:lang w:eastAsia="en-NZ"/>
              </w:rPr>
              <w:t>Cultural considerations, alternatives and desired outcomes to ensure the resident’s safety and security was documented. Independence was encouraged for all residents using a restraint and/or enabler.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monitoring forms are used to record each episode of restraint use. When restraints are in use, two hourly monitoring occurs to ensure the resident’s cares are being effectively met with recording of all cares, nutritional input and safety considerations required. The monitoring form is kept in the resident’s record and used by the restraint coordinator for monitoring of the restraint use and to ensure the requirements of the policy are met. This was completed in the resident’s record reviewed where restraint was in use. The mattress is only in use during times when the resident is in bed.</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by the restraint coordinator, updated monthly and reviewed at each quality and all staff meeting and restraint committee meeting when each resident using a restraint is discussed. Minutes of the meetings were available.</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on restraint minimisation and safe practice. Policies and procedures are understood by staff and the safe use of restraint is considered at all times. Minimisation was encouraged and safe use was confirmed during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review of a resident’s record evidenced the individual use of restraints is reviewed and evaluated monthly by the restraint co-ordinator, and six monthly as part of the lifestyle care plan and interRAI reviews, with input from family/EPOA, wherever possible and documented by the general practitioner concerned.</w:t>
            </w:r>
          </w:p>
          <w:p w:rsidR="00EB7645" w:rsidRPr="00BE00C7" w:rsidP="00BE00C7">
            <w:pPr>
              <w:pStyle w:val="OutcomeDescription"/>
              <w:spacing w:before="120" w:after="120"/>
              <w:rPr>
                <w:rFonts w:cs="Arial"/>
                <w:b w:val="0"/>
                <w:lang w:eastAsia="en-NZ"/>
              </w:rPr>
            </w:pPr>
            <w:r w:rsidRPr="00BE00C7">
              <w:rPr>
                <w:rFonts w:cs="Arial"/>
                <w:b w:val="0"/>
                <w:lang w:eastAsia="en-NZ"/>
              </w:rPr>
              <w:t>The evaluation includes all requirements of the restraint minimisation and safe practice standard, and in some cases, future options are developed to eliminate use, the impact and outcomes achieved, if the policy and procedure was followed and documentation was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reviews all restraint use on a monthly basis, which includes all the requirements of the standard. Minutes of the restraint committee and quality and all staff meetings confirmed analysis and evaluation of the types of restraint used in the facility, whether alternatives to restraint have been addressed and the effectiveness of the restraint in use. The restraint coordinator reports to head office if any trends are identified.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73"/>
        <w:gridCol w:w="1280"/>
        <w:gridCol w:w="4750"/>
        <w:gridCol w:w="3416"/>
        <w:gridCol w:w="20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planned InterRAI assessments and six-month care plan reviews consistently occurring, however residents six monthly interRAI assessments were completed after the six month care plan review in eight of eight lifestyle care plans reviewed, rather than the interRAI assessment occurring before and therefore informing the care plan review.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provides input and oversight for interRAI assessments and lifestyle care plans and reviews are occurring six monthly; however, the interRAI assessments are occurring after the six month lifestyle care plans are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six monthly care plans are reviewed and updated, as needed, following the interRAI six monthly assessments are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Edith Cavell Home and Hospital</w:t>
    </w:r>
    <w:bookmarkEnd w:id="58"/>
    <w:r>
      <w:rPr>
        <w:rFonts w:cs="Arial"/>
        <w:sz w:val="16"/>
        <w:szCs w:val="20"/>
      </w:rPr>
      <w:tab/>
      <w:t xml:space="preserve">Date of Audit: </w:t>
    </w:r>
    <w:bookmarkStart w:id="59" w:name="AuditStartDate1"/>
    <w:r>
      <w:rPr>
        <w:rFonts w:cs="Arial"/>
        <w:sz w:val="16"/>
        <w:szCs w:val="20"/>
      </w:rPr>
      <w:t>9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