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Matamata Country Lodge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Matamata Country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Matamata Country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January 2017</w:t>
      </w:r>
      <w:bookmarkEnd w:id="7"/>
      <w:r w:rsidRPr="009418D4">
        <w:rPr>
          <w:rFonts w:cs="Arial"/>
        </w:rPr>
        <w:tab/>
        <w:t xml:space="preserve">End date: </w:t>
      </w:r>
      <w:bookmarkStart w:id="8" w:name="AuditEndDate"/>
      <w:r w:rsidR="00A4268A">
        <w:rPr>
          <w:rFonts w:cs="Arial"/>
        </w:rPr>
        <w:t>31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Matamata Country Lodge continues to provide hospital and rest home level care. In December 2016, the service was reconfigured by adding two rest home beds and one dual purpose bed to bring the total capacity from 96 to 99 beds. The location and fit out of these additional bedrooms was included in the site tour.</w:t>
      </w:r>
    </w:p>
    <w:p w:rsidRPr="00A4268A">
      <w:pPr>
        <w:spacing w:before="240" w:line="276" w:lineRule="auto"/>
        <w:rPr>
          <w:rFonts w:eastAsia="Calibri"/>
        </w:rPr>
      </w:pPr>
      <w:r w:rsidRPr="00A4268A">
        <w:rPr>
          <w:rFonts w:eastAsia="Calibri"/>
        </w:rPr>
        <w:t>This unannounced surveillance audit was conducted against a sub-set of the relevant standards and the contract with the district health board (DHB). The audit process included review of policy and procedures, the review of resident and staff files, observations and interviews with residents, management and staff. The residents and family members interviewed, talked positively about their experiences with the service and expressed confidence in the quality and extent of care provided. A general practitioner interviewed by telephone stated the service and its staff provided excellent care.</w:t>
      </w:r>
    </w:p>
    <w:p w:rsidRPr="00A4268A">
      <w:pPr>
        <w:spacing w:before="240" w:line="276" w:lineRule="auto"/>
        <w:rPr>
          <w:rFonts w:eastAsia="Calibri"/>
        </w:rPr>
      </w:pPr>
      <w:r w:rsidRPr="00A4268A">
        <w:rPr>
          <w:rFonts w:eastAsia="Calibri"/>
        </w:rPr>
        <w:t>Each of the standards assessed met the requirements, and two areas (food and medicines), demonstrated achievement above the requirements.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adheres to the principles and practices of open disclosure when dealing with unwanted events.</w:t>
      </w:r>
    </w:p>
    <w:p w:rsidRPr="00A4268A">
      <w:pPr>
        <w:spacing w:before="240" w:line="276" w:lineRule="auto"/>
        <w:rPr>
          <w:rFonts w:eastAsia="Calibri"/>
        </w:rPr>
      </w:pPr>
      <w:r w:rsidRPr="00A4268A">
        <w:rPr>
          <w:rFonts w:eastAsia="Calibri"/>
        </w:rPr>
        <w:t>All verbal and written complaints received by the service in the past 16 months have been responded to and investigated in a timely and open manner. Residents said they knew how to make a complaint and that they were entitled to support during the process. There had been no known complaints investigated by the office of the Health and Disability Commissioner. The complaints system is fair and effective.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service is maintaining its commitment to continual quality improvement. The quality and risk management systems met the standard required. Any areas of concern in service delivery were being promptly identified and actions to remedy the problem are initiated. Information and methods which monitor the quality of the services provided are consistently reviewed and improved upon.</w:t>
      </w:r>
    </w:p>
    <w:p w:rsidRPr="00A4268A">
      <w:pPr>
        <w:spacing w:before="240" w:line="276" w:lineRule="auto"/>
        <w:rPr>
          <w:rFonts w:eastAsia="Calibri"/>
        </w:rPr>
      </w:pPr>
      <w:r w:rsidRPr="00A4268A">
        <w:rPr>
          <w:rFonts w:eastAsia="Calibri"/>
        </w:rPr>
        <w:t>All adverse events were being reported and investigated. Two events have been notified to the DHB and the Ministry of Heath since the previous certification audit.</w:t>
      </w:r>
    </w:p>
    <w:p w:rsidRPr="00A4268A">
      <w:pPr>
        <w:spacing w:before="240" w:line="276" w:lineRule="auto"/>
        <w:rPr>
          <w:rFonts w:eastAsia="Calibri"/>
        </w:rPr>
      </w:pPr>
      <w:r w:rsidRPr="00A4268A">
        <w:rPr>
          <w:rFonts w:eastAsia="Calibri"/>
        </w:rPr>
        <w:t>Staff are well managed according to policy and good employer practices. New staff are recruited in ways that ensure their suitability for the position. Orientation to the service and its policies and procedures, including emergency systems, is provided to all new staff.  Ongoing staff education is planned and coordinated to ensure that staff receive relevant and timely training on subjects related to care of older people. Training is occurring regularly through in-service education sessions, via self-directed learning and presentations by external experts. Staff competency assessments are occurring regularly.</w:t>
      </w:r>
    </w:p>
    <w:p w:rsidRPr="00A4268A">
      <w:pPr>
        <w:spacing w:before="240" w:line="276" w:lineRule="auto"/>
        <w:rPr>
          <w:rFonts w:eastAsia="Calibri"/>
        </w:rPr>
      </w:pPr>
      <w:r w:rsidRPr="00A4268A">
        <w:rPr>
          <w:rFonts w:eastAsia="Calibri"/>
        </w:rPr>
        <w:t>There are sufficient numbers of clinical and auxiliary staff allocated on all shifts, seven days a week, to meet the needs of residents requiring hospital and rest home level care. Registered nurses (RNs) are on site seven days a week and on call 24 hours a day.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 frames that safely meet the needs of the resident and contractual requirements.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 term plan is developed and integrated into a long 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five week rotating menu which is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changes to the external structure of the building that required a building consent or amendment to the fire evacuation scheme. Three new bedrooms and a purpose built central laundry space have been completed since the previous audit. The buildings, plant or equipment and external areas are of a high standard and are being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uses best known processes for determining safe and appropriate restraint and enabler use. On the day of audit the restraint register was up to date with those residents who required interventions to maintain their safety. The methods used for assessment, consent and approval, monitoring, evaluation and review meet all the requirements of the Restraint Minimisation and Safe Practice Standards.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benchmarked and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effectively manage its complaints process and maintain the complaints register. Residents confirmed knowledge of the ways to lodge a complaint. Review of the complaints register and interview with the nurse manager revealed that each of the complaints received since the previous audit had been acknowledged and openly addressed, thoroughly investigated and resolved in a timely manner with all parties. The records show there was ongoing communication with the people involved and all issues have been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adhering to the principles of open disclosure and the procedures within their policy. Review of information related to incident/accident reports and complaints received reveal the ways in which the organisation attends to the rights of residents and their families to know what has happened to them and to be fully informed. Evidence of notification to families and the GP was seen in accident/incident forms and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currently require interpreter services. Staff advised that family members have interpreted for residents in the past and prompt cards are used for residents with difficulty in communicating, with support from external services, such as the local hearing association,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ownership or governance since the previous certification audit. The Cantabria Group continue to provide aged care across three sites including Matamata Country Lodge. The three nurse managers from each facility meet regularly with the owners and benchmark service outputs, review the quality and risk systems and provide support to each other.  On the day of this audit there were 81 residents on site. Fifty five of these were assessed as requiring rest home level care and 26 as requiring hospital care. One resident was under the age of 65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vision, mission, values and annual goals are in the current business plan which is reviewed regularly by the group.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a current practising certificate with the Nursing Council of NZ and is maintaining her nursing portfolio and meeting the contractual requirements by attending on going education in clinical and management topics.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maintaining effective quality and risk management systems. There is monthly benchmarking of the frequency and type of accidents/incidents and infections across the three aged care facilities. Quality improvements are documented for action and completion whenever a service deficit is identified via internal audit, or as a result of analysing quality data or feedback. Residents and family feedback is sought regularly via surveys and meetings. A residents’ meeting was observed during audit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reviewed annually and updated as required to meet known best practice. All quality data continues to be analysed and discussed at the nurse managers’ meetings and at various facility staff meetings. There is documented evidence of corrective actions on incident/accident reports, on the internal audit tools where a deficit or gap is identified, in the hazards register, and in complaints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annual business plan, quality and risk plan and associated emergency plans identify all actual and potential risk to the business, service delivery, staff and/or visitor’s health and safety. Environmental risks are communicated to visitors, staff and residents as required through notices, or verbally, depending on the nature of the risk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maintaining a focus on health and safety. A recent initiative has all Health and Safety Committee members wearing a badge identifying them as Health &amp; Safety members. This was introduced to raise the profile of Health and Safety on the floor, on a daily basis. Staff have found this initiative gives them support for interventions if required and an identified `go to’ person for staff, family, visitors to approach. Minutes from the Health and Safety meeting in July 2016 show that staff say it has definitely raised the profile. The facility has a secondary level workplace safety management plan and there is a low rate of staff injury. At risk residents are identified through analysis of incident data (for example falls, infections, skin tears and other known factors such as confusion). Contingencies to prevent or minimise injury to ‘at risk’ residents is discussed at RN meetings and actions are agreed and initiated. The hazard register and risk management plan are being kept updated. Staff interviewed confirmed knowledge of and participation in quality and risk management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 reporting system was known by staff interviewed and is co-ordinated by a senior RN with review from the clinical nurse leader and nurse manager. The event records showed that reporting occurs immediately and is investigated to determine cause and prevent or minimise recurrence. All people impacted by the adverse event are notified. The manager advised there had been two events requiring external notification since the previous audit. One was related to resident injury and the other was a police matter.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records confirmed that staff are effectively recruited and managed. The skills and knowledge required is documented in position descriptions and employment agreements. The nurse manager and a cross section of staff confirmed they understand their roles, delegated authority and responsibilities. Every job applicant is reference checked and police checked. The six staff records reviewed, contained evidence of curriculum vitaes (CVs), educational achievements, and copies of current practising certificates where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oriented to organisational systems, quality and risk, the Code of Rights, health and safety, resident care, privacy and confidentiality, restraint practices, infection prevention and control and emergency situations by the staff education and development officer. </w:t>
            </w:r>
          </w:p>
          <w:p w:rsidR="00EB7645" w:rsidRPr="00BE00C7" w:rsidP="00BE00C7">
            <w:pPr>
              <w:pStyle w:val="OutcomeDescription"/>
              <w:spacing w:before="120" w:after="120"/>
              <w:rPr>
                <w:rFonts w:cs="Arial"/>
                <w:b w:val="0"/>
                <w:lang w:eastAsia="en-NZ"/>
              </w:rPr>
            </w:pPr>
            <w:r w:rsidRPr="00BE00C7">
              <w:rPr>
                <w:rFonts w:cs="Arial"/>
                <w:b w:val="0"/>
                <w:lang w:eastAsia="en-NZ"/>
              </w:rPr>
              <w:t>Staff maintain knowledge and skills in emergency management, first aid certificates and competencies in medicine administration and attend regular training. The service is encouraging and supporting health care assistants (HCAs) to achieve the level three NZ certificate in Health and Wellbeing. 45% of care assistants already have educational achievement in care of older people and it is a goal of the service that 100% attain a level 3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Rosters sighted, and interviews with all levels of staff, residents and families confirmed that there is an appropriate number of staff on site at all times.  RNs are available on site with more on call 24 hours a day seven days a week. Residents are satisfied with the responsiveness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described the processes to ensure safe administration of all medications.  This included competency requirements, prescribing, recording, the process when an error occurs, as well as definitions for ‘over the counter’ medications that may be required by residents.   At the time of audit one resident was self-administering medications and this was in the resident’s room in a secure location.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individually in the treatment rooms which are locked when not occupied.  A locked cupboard is used for controlled medications and the medicine register was sighted.  Medications that require refrigeration are stored in a separate fridge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an electronic medication charting and management system.  The 16 medicine charts sighted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All the medicine files reviewed have a photo of the resident to assist with the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all staff responsible for medicine management.  The registered nurse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The kitchen supervisor/chef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five week rotating menu that has been reviewed by a dietitian.  Where unintentional weight loss is recorded, the resident is discussed with the GP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also offers residents a variety of cereals for breakfast, a main option for lunch including a desert and a lighter menu option for dinner also supporting individual residents with different cultural food needs if required.   All main meals are supported by morning and afternoon tea which includes home baking.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from the onsite kitchen, food is transported by transport boxes, lunch and dinner is served in one of three dining rooms with residents having breakfast in their bedrooms.  Residents have the option of trays in their rooms throughout the day, however all residents are encouraged to have their meals in the dining rooms to encourage appetites and socialisation.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on admission include assessments of weight, mobility, ability and/or support required for residents to complete daily activities of living,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clinical nurse leaders and care staff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clinical nurse leaders and care staff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both young and older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staff adapts activities to meet the needs and preference of choices/cultural preferences of the aged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one diversional therapist and an activity co-ordinator (currently training to be a diversional therapist) who both work Monday – Friday (0830-1630), who are supported by an external meeting group/newsletters. The weekly activities plan/calendar sighted was developed based on the resident’s individual needs and interests and can be easily adapted and changed depending on the resident’s physical ability, interest and reaction at the time. The activities staff advertises the upcoming activities on the calendar by providing this to residents on the notice board in the facility.  The activity staff visit all the residents each morning to encourage them to partake in the day’s activities.   Regular activities include daily newspaper reading and different types of exercises, scooter group, church services, regular visiting entertainment and regular trips out with the support of the facility van.  The residents also partake in regular community activities such as shopping, Bridge, a church friendship club.   Residents have also facilitated regular activities/groups on the weekends.  There are also specific men and lady’s activities/outings, a newsletter which is created every other month and bi-monthly resident meetings.   All public holidays and special events are celebrated.   For residents who wish to remain in their rooms, activities and one to one interaction is offered and supported by staff.  The care staff interviewed stated that they have access to activities to support residents after hours and on the weekends.  Staff throughout the day continue to promote social interaction by inviting and encouraging all residents to join in activities together in the main lounges.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and is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stated that they were happy with the activities on offer and families and visitors felt included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eight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who are not responding to the services/interventions being delivered, are discussed with their GP and family/whanau.  Short term care plans were sighted for wound care, infections, changes in mobility, food and fluid intake and skin care.  The medical and nursing assessments of these short term care plans are documented in the residents’ progress notes.  The care staff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of warrant of fitness. Plant and equipment is checked and maintained as required by legislation, regulations and standards. Hazard reporting/monitoring, reactive and preventative maintenance occurs. All external areas are safe. Three additional bedrooms and a central laundry have been created since the previous audit. This has not required a new fire evacuation as the footprint of the building has not changed. Each of the bedrooms are generous in size, have ensuite bathrooms and are located close to common areas. They are suitably furnished and the building materials and chattels provided are of a high standard. A resident who occupies one of the rooms and their family member expressed satisfaction. The new laundry replaces two separate laundries. Processes still allow for separation of laundry for hospital and rest home. The equipment is new and has the capacity to meet demand.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Monitoring is discussed in management meetings to reduce and minimise risk and ensure residents’ safety.  The infection coordinator completes a monthly surveillance report. The service monitors skin and soft tissue wounds, pressure injuries, urinary tract infections, oral, eyes, ear, and gastroenteritis infections.  Antibiotic use is also monitored.  The monthly analysis of the infections includes comparison with the previous month, reason for increase or decrease, trends and actions taken to reduce infections and data is benchmarked externally.  This information is fed back and discussed in management, staff and where appropriate, family and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monthly reports identify two residents who are chronically unwell and frequently require antibiotics. Short term and long term care plans sighted evidence interventions in place to reduce and minimise the risk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ten residents in the hospital wing who are using bedrails and lap belts. Nine of these are recorded in the register as restraints and one bedrail as a voluntary enabler. Interview with the spouse of a resident with bedrails and lap belt in daily use, confirmed these were agreed too and necessary for the person’s safety. Information had been provided to the family and was ongoing, especially during six monthly reviews or when change was required. Restraint activity is reported monthly and the restraint approval group meets every six months to review and evaluate restraint matters and staff education needs. The service meets the requirements of this standard.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0"/>
        <w:gridCol w:w="1280"/>
        <w:gridCol w:w="8401"/>
        <w:gridCol w:w="20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May of 2016, the service reviewed medication errors as a medication audit showed evidence of one medication error per month.   The service introduced an electronic charting and management system in July 2016 and since its implementation audit findings have shown a reduction in and a total of three errors as at the end of December 2016.    The senior nurse leader was given the role of champion for the new medication management system which included staff training and associated competencies.   The champion role also includes the reviewing of electronic data on a weekly basis which is then discussed at management and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continuous improvement evidencing a reduction in medication errors by fifty percent and showing evidence of 100 percent compliance with staff medication competencies and medication administration in monthly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 satisfaction questionnaire completed 6 July 2016 seeking resident feedback on each midday and evening meal indicated that there was an area for improvement.  Of the 32 forms returned, seven families said ‘our meals were only fair, eleven said good, eight said very good’.   One formal complaint was received.  The service initiated daily checking of food before it left the kitchen and prior to presentation in the resident’s dining room.  Photos of food were also taken to support food presentation and staff education.  Four surveys have been completed between the months of September and December 2016 showing that there was an increase in resident’s food satisfaction and improvements made and that residents are ‘enjoying the meals again’.   Evidence of discussion and positive feedback was also seen in residents’ meetings.  The resident and their family who made the formal complaint have also reiterated that the meals have improved.  The family survey is due to be repeated in June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rated continuous improvement by demonstrating positive outcomes provided by residents and family in feedback forms, residents’ meetings and no further complaints as at the end of December 2016 in relation to the food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Matamata Country Lodge Limited</w:t>
    </w:r>
    <w:bookmarkEnd w:id="58"/>
    <w:r>
      <w:rPr>
        <w:rFonts w:cs="Arial"/>
        <w:sz w:val="16"/>
        <w:szCs w:val="20"/>
      </w:rPr>
      <w:tab/>
      <w:t xml:space="preserve">Date of Audit: </w:t>
    </w:r>
    <w:bookmarkStart w:id="59" w:name="AuditStartDate1"/>
    <w:r>
      <w:rPr>
        <w:rFonts w:cs="Arial"/>
        <w:sz w:val="16"/>
        <w:szCs w:val="20"/>
      </w:rPr>
      <w:t>31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