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Lexall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Lexall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Lexall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November 2016</w:t>
      </w:r>
      <w:bookmarkEnd w:id="7"/>
      <w:r w:rsidRPr="009418D4">
        <w:rPr>
          <w:rFonts w:cs="Arial"/>
        </w:rPr>
        <w:tab/>
        <w:t xml:space="preserve">End date: </w:t>
      </w:r>
      <w:bookmarkStart w:id="8" w:name="AuditEndDate"/>
      <w:r w:rsidR="00A4268A">
        <w:rPr>
          <w:rFonts w:cs="Arial"/>
        </w:rPr>
        <w:t>16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Lexall Care provides rest home and hospital (geriatric and medical) level care for up to 58 residents and on the day of the audit there were 55 residents.  The service is managed by a clinical manager.  The residents and relatives interviewed all spoke positively about the care and support provided.  </w:t>
      </w:r>
    </w:p>
    <w:p w:rsidRPr="00A4268A">
      <w:pPr>
        <w:spacing w:before="240" w:line="276" w:lineRule="auto"/>
        <w:rPr>
          <w:rFonts w:eastAsia="Calibri"/>
        </w:rPr>
      </w:pPr>
      <w:r w:rsidRPr="00A4268A">
        <w:rPr>
          <w:rFonts w:eastAsia="Calibri"/>
        </w:rPr>
        <w:t>The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four of the six findings from the previous certification audit around the complaints management system, satisfaction surveys and resident meetings, education and training, and restraint minimisation documentation.  Improvements continue to be required around wound care documentation and medication management.</w:t>
      </w:r>
    </w:p>
    <w:p w:rsidRPr="00A4268A">
      <w:pPr>
        <w:spacing w:before="240" w:line="276" w:lineRule="auto"/>
        <w:rPr>
          <w:rFonts w:eastAsia="Calibri"/>
        </w:rPr>
      </w:pPr>
      <w:r w:rsidRPr="00A4268A">
        <w:rPr>
          <w:rFonts w:eastAsia="Calibri"/>
        </w:rPr>
        <w:t>This surveillance audit identified that improvements are required in relation to open disclosure, policies and procedures, corrective action planning, reference checking, and care plans/InterRAI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Families and residents interviewed reported that the communication with staff and management meets their needs.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Business goals are documented for the service with evidence of regular reviews.  A system is in place for the collection and analysis of quality and risk data.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qualified staff.  An orientation programme and regular education and training are in place for staff.  </w:t>
      </w:r>
    </w:p>
    <w:p w:rsidRPr="00A4268A">
      <w:pPr>
        <w:spacing w:before="240" w:line="276" w:lineRule="auto"/>
        <w:rPr>
          <w:rFonts w:eastAsia="Calibri"/>
        </w:rPr>
      </w:pPr>
      <w:r w:rsidRPr="00A4268A">
        <w:rPr>
          <w:rFonts w:eastAsia="Calibri"/>
        </w:rPr>
        <w:t xml:space="preserve">Registered nursing cover is provided 24 hours a day, seven days a week.  Residents report staffing levels are adequate to meet their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reviews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A register is maintained by the restraint coordinator.  The service had six hospital level residents using a restraint and four residents using enablers.  Staff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service providers and visitors.  The type of surveillance undertaken is appropriate to the size and complexity of the organisation.  Standardised definitions are used for the identification and classification of infection events.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at the entrance to the facility.  Discussions with five residents (three rest home and two hospital) and families confirmed they were provided with information on the complaints process during their entry to the service.  Residents and families also confirmed that they are comfortable speaking with the clinical manager/registered nurse (RN) if they have a concern and that any issue raised is addressed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family during the resident’s entry to the service.  A register of complaints received is maintained by the clinical manager.  Two complaints have been lodged in the register for 2016 (year to date).  Each lodged complaint included evidence of acknowledgement, investigation and follow-up and were within the timeframes determined by the Health and Disability Commissioner (HDC).  This is an improvement from the previous audit.  Both complaints were signed off by the clinical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and open disclosure identify staffs’ responsibility to notify family/next of kin of any accident/incident that occurs.  Evidence of communication with family/whānau is supposed to be recorded on the accident/incident form and in the residents’ progress notes but was missing in five of fifteen completed reports.  </w:t>
            </w:r>
          </w:p>
          <w:p w:rsidR="00EB7645" w:rsidRPr="00BE00C7" w:rsidP="00BE00C7">
            <w:pPr>
              <w:pStyle w:val="OutcomeDescription"/>
              <w:spacing w:before="120" w:after="120"/>
              <w:rPr>
                <w:rFonts w:cs="Arial"/>
                <w:b w:val="0"/>
                <w:lang w:eastAsia="en-NZ"/>
              </w:rPr>
            </w:pPr>
            <w:r w:rsidRPr="00BE00C7">
              <w:rPr>
                <w:rFonts w:cs="Arial"/>
                <w:b w:val="0"/>
                <w:lang w:eastAsia="en-NZ"/>
              </w:rPr>
              <w:t>Three families interviewed (one rest home and two hospital) stated that they are kept informed when their family member’s health status changes or in the event of an accident/incident.</w:t>
            </w:r>
          </w:p>
          <w:p w:rsidR="00EB7645" w:rsidRPr="00BE00C7" w:rsidP="00BE00C7">
            <w:pPr>
              <w:pStyle w:val="OutcomeDescription"/>
              <w:spacing w:before="120" w:after="120"/>
              <w:rPr>
                <w:rFonts w:cs="Arial"/>
                <w:b w:val="0"/>
                <w:lang w:eastAsia="en-NZ"/>
              </w:rPr>
            </w:pPr>
            <w:r w:rsidRPr="00BE00C7">
              <w:rPr>
                <w:rFonts w:cs="Arial"/>
                <w:b w:val="0"/>
                <w:lang w:eastAsia="en-NZ"/>
              </w:rPr>
              <w:t>Contact details of available interpreters are available.  Staff and family assist as they are able.  Communication aids with translated words were visible in relevant residents’ rooms.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Lexall Care is privately owned.  It is managed by a full time clinical manager (RN).  The service is certified to provide rest home and hospital (medical and geriatric) level care for up to 58 residents.  On the day of the audit, there were 55 residents.  Twenty residents were at rest home level of care and 35 were at hospital level.  This included two respite (hospital), three long-term chronic conditions (LTCC) (one rest home, two hospital) and two DHB funded interim care (hospital). Six beds are rest home only and the remaining are dual purpose.</w:t>
            </w:r>
          </w:p>
          <w:p w:rsidR="00EB7645" w:rsidRPr="00BE00C7" w:rsidP="00BE00C7">
            <w:pPr>
              <w:pStyle w:val="OutcomeDescription"/>
              <w:spacing w:before="120" w:after="120"/>
              <w:rPr>
                <w:rFonts w:cs="Arial"/>
                <w:b w:val="0"/>
                <w:lang w:eastAsia="en-NZ"/>
              </w:rPr>
            </w:pPr>
            <w:r w:rsidRPr="00BE00C7">
              <w:rPr>
                <w:rFonts w:cs="Arial"/>
                <w:b w:val="0"/>
                <w:lang w:eastAsia="en-NZ"/>
              </w:rPr>
              <w:t>A 2016 strategic plan is being implemented.  The clinical manager reports that she meets with the owner regularly and that meetings include reviewing the strategic goals.  Quality goals are also documented for the service.  These goals link to the strategic plan and are regularly reviewed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experienced clinical manager is a registered nurse who has been in her role for the past 16 years.  She has maintained a minimum of eight hours relating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being implemented.  A document control system is in place but document reviews are behind schedule.  Policies and procedures have not been updated to include reference to InterRAI for an aged care service.  New policies or changes to policy are communicated to staff in staff meetings.  Interviews with the clinical manager/RN and eight staff (three caregivers, three RNs, one activities coordinator, one cook) reflected their understanding of the quality and risk management systems that have been established.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for adverse events including falls and skin tears, pressure injuries (if any), and infections.  This data is collated, trended and analysed and is regularly communicated to staff in staff meetings.  A resident/family satisfaction survey was last completed in April 2016.  The clinical manager conducts quarterly residents meetings.  Families are invited to attend.  These are improvements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documented in the audit schedule.  Corrective actions are not consistently completed when internal audit findings are identified.  Quality initiatives for 2016 have included improving the presentation of food to residents, freeing up caregiver staff to assist with activities, and the development of medication management initiatives to reduce the number of medication errors.  These quality initiatives have not been evaluated or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legislative requirements.  The health and safety team of five staff including the clinical manager meets regularly. Health and safety policies have recently been reviewed (August 2016).  Hazard identification forms and a hazard register reflect the regular monitoring of hazard controls.  Staff education, which begins during their induction to the service, includes the topic of health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including any follow-up action(s) required (link to finding 1.1.9.1).  Incident/accident data is linked to the facilities quality and risk management programme (link to finding 1.2.3.8).  Fifteen accident/incident forms were reviewed.  Each event involving a resident reflected a clinical assessment and follow-up by a registered nurse.  Neurological observations have been undertaken if there is a suspected head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aware of her responsibility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address recruitment, orientation and staff training and development.  Five staff files randomly selected for review (three caregivers, two registered nurses) included evidence of the recruitment process including police vetting, signed employment contracts, completed orientation programmes, and annual performance appraisals.  Missing was evidence of reference checking.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and is developed specifically to worker type.  Staff interviewed stated that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is being implemented.  This is an improvement from the previous audit.  Education and training for the RNs are supported by the DHB.  One RN has completed her InterRAI training with one day per week allocated to completing InterRAI assessments (link to finding 1.3.3.3).  Medication competencies are up-to-date. Current annual practising certificates were sighted for the registered health professionals.  There is a minimum of one staff member available 24/7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plan is documented for the service.  The clinical manager and charge nurse are available five days a week (Monday – Friday).  Additional staff RN cover is provided 24 hours a day, seven days a week with two RNs on the am and pm shifts and one RN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supported by adequate numbers of caregivers.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medication charts reviewed demonstrated that the resident had been reviewed by the general practitioner within the last three months (two medication charts were for residents recently admitted to the facility).  All medicines are dispensed to the facility by a contracted pharmacy.  Unused medicines are returned to the dispensing pharmacy. The storage of medicine was secure. There was a system of medicine reconciliation in use for newly admitted residents. There were no residents self-administering medications at the time of audit.  Medicines are administered by registered nurses who have been assessed annually as competent by other registered nurses. In the rest home, registered nurses and medication competent caregivers administer medication.  Registered nurses have completed syringe driver training and there is a close liaison with the hospice for advice and support for palliative care residents. The hospice nurse was visiting during the audit and when interviewed spoke highly of the care that residents receive and the clinical competence of the registered nursing team.</w:t>
            </w:r>
          </w:p>
          <w:p w:rsidR="00EB7645" w:rsidRPr="00BE00C7" w:rsidP="00BE00C7">
            <w:pPr>
              <w:pStyle w:val="OutcomeDescription"/>
              <w:spacing w:before="120" w:after="120"/>
              <w:rPr>
                <w:rFonts w:cs="Arial"/>
                <w:b w:val="0"/>
                <w:lang w:eastAsia="en-NZ"/>
              </w:rPr>
            </w:pPr>
            <w:r w:rsidRPr="00BE00C7">
              <w:rPr>
                <w:rFonts w:cs="Arial"/>
                <w:b w:val="0"/>
                <w:lang w:eastAsia="en-NZ"/>
              </w:rPr>
              <w:t>Medication fridge temperatures were being monitored daily and the temperature ranges were within accepted limits and actions taken if discrepancies were noted.  This finding from the certification audit has been addressed.  Medicines were not evidenced to be charted correctly around the prescribing of warfarin medication.  Medication signing charts sampled evidenced transcribing of medications. The facility uses standing orders; however, these have not been reviewed by the GP in the required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been developed by the cook in consultation with the dietitian.  The menu for the day is displayed on noticeboards in the hospital and rest home.  Staff were aware of residents’ food preferences and needs of those residents who could not indicate their own choices.  For some residents that are not able to choose, the families are involved in choosing the meals for their liking. The cook interviewed was aware of all residents’ food preferences and special requirements and these preferences were recorded on a noticeboard in the kitchen. The kitchen was well equipped.  Food was being appropriately managed in line with food safety guidelines.  Food was delivered to each resident area in a hot box then decanted into heated bain-maries, and then served by staff according to resident choice.  Staff were observed to be assisting those residents who required help with their food and fluid intake at meal times.</w:t>
            </w:r>
          </w:p>
          <w:p w:rsidR="00EB7645" w:rsidRPr="00BE00C7" w:rsidP="00BE00C7">
            <w:pPr>
              <w:pStyle w:val="OutcomeDescription"/>
              <w:spacing w:before="120" w:after="120"/>
              <w:rPr>
                <w:rFonts w:cs="Arial"/>
                <w:b w:val="0"/>
                <w:lang w:eastAsia="en-NZ"/>
              </w:rPr>
            </w:pPr>
            <w:r w:rsidRPr="00BE00C7">
              <w:rPr>
                <w:rFonts w:cs="Arial"/>
                <w:b w:val="0"/>
                <w:lang w:eastAsia="en-NZ"/>
              </w:rPr>
              <w:t>Additional nutritious snacks were available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The cooks were qualified and the kitchen staff had attended food safety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restraint use, behaviour management,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is available and includes assessments, management plans, progress and evaluations.  However, the wound assessments were not evidenced to be consistently fully completed. This finding from the previous audit has not been addressed.  In the rest home, there were two skin tears and one with a chronic wound currently being treated.  There were nine hospital residents with wounds including two stage-one and two with stage-two pressure injuries; two skin tears and one laceration. The RNs have attended wound care training.  Not all care plans included current interventions to meet the needs of residents; however care being provided was meeting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coordinator and an activities assistant to plan and coordinate the individual and group activities programme, which was offered in the rest home and hospital for five days per week.  Care staff also participated in providing the individual and group activities programme.  There is a large recreation room located in the hospital which is used for group activities.  Residents were observed participating in an exercise programme and being entertained by a musician in the afternoon. Residents from the rest home were assisted to attend the exercise programme and entertainment session which were occurring in the hospital unit.  Each resident had a written and implemented activities programme, which was not consistently evaluated monthly and reviewed each time their long-term plan of care was reviewed (link to 1.3.3.3).  A weekly programme was displayed in large print in each area and staff were able to inform residents as to the programme and to direct them to attend the activity of their choice.  A daily record of each resident’s participation in group and individual activities was maintained.  A wide range of activities were included in the programmes.  The group programme included external outings. The facility has pets including a ewe and lamb which residents are able to see in the adjacent paddock.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highly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completed a review of all resident’s initial care plans within three weeks of their admission.  The senior charge nurse had a system in place which ensures that each resident was formally reviewed six monthly by all members of the multidisciplinary team and a record of the review was documented.  Families were contacted and invited to contribute their opinions and attend these reviews where possible.  Following the review, the resident’s long-term care plans were amended to reflect any changes (also link 1.3.6.1).  Care plans were evidenced to be evaluated six monthly and the goals or interventions were amended to address any areas of non-achievement towards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15 December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reports and short-term care plans are completed for all infections.  Infection control data and relevant information is displayed on the staff infection control board in the staff office.  Definitions of infections are in place appropriate to the complexity of service provided.  Infection control data is discussed at both the infection control committee meetings and clinical meetings.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The education and training programme includes regular in-service training on restraint minimisation.  Interviews with the care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four hospital level residents using enablers and six hospital-level residents using restraints.  </w:t>
            </w:r>
          </w:p>
          <w:p w:rsidR="00EB7645" w:rsidRPr="00BE00C7" w:rsidP="00BE00C7">
            <w:pPr>
              <w:pStyle w:val="OutcomeDescription"/>
              <w:spacing w:before="120" w:after="120"/>
              <w:rPr>
                <w:rFonts w:cs="Arial"/>
                <w:b w:val="0"/>
                <w:lang w:eastAsia="en-NZ"/>
              </w:rPr>
            </w:pPr>
            <w:r w:rsidRPr="00BE00C7">
              <w:rPr>
                <w:rFonts w:cs="Arial"/>
                <w:b w:val="0"/>
                <w:lang w:eastAsia="en-NZ"/>
              </w:rPr>
              <w:t>One file selected where an enabler (bedrails) was in use reflected evidence of an assessment for enabler use, written consent by the resident, and was linked to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hospital level residents’ files were selected where bedrails were being used as a restraint.  Both files contained an assessment that identified any potential risks related to the use of the restraint and described the desired outcome.  All aspects of the criterion 2.2.2.1 were being met.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linked to the resident’s care plan, sighted in both residents’ files where restraint (bedrails) were being used.  Evidence was also sighted to verify that two hourly checks were documented on the restraint monitoring forms for both residents.  These are improvements from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9"/>
        <w:gridCol w:w="1280"/>
        <w:gridCol w:w="5758"/>
        <w:gridCol w:w="3130"/>
        <w:gridCol w:w="18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reviewed did not consistently reflect that families were kept informed. Three families interviewed (one rest home and two hospital) stated that they are kept informed when their family member’s health status changes or in the event of an accident/incident.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fifteen accident/incident reports, which included two pressure injuries, two skin tears and one bruise incident, did not indicate that families were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on accident/incident forms reflects families being kept informed following an accident/incident.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has been established.  Policies are scheduled for two yearly reviews unless changes occur with greater frequency.  Selections of policies on the document review schedule are overdue for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policies are behind schedule for a two-yearly review (eg, pressure injury prevention and management, bladder care, blood accidents, bowel care).  A policy and procedure around the implementation of InterRAI has not been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policies are reviewed as per the document review schedule.  InterRAI procedures are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internal audit process is required to include corrective action plans when results are less than acceptable.  There were a sample of internal audits completed that identified findings without associated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ii) When quality initiatives are developed, they should be evaluated and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Internal audit results that identify findings do not consistently include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Quality initiatives developed in 2016 around the activities programme and medication management have not been evaluated or 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required where internal audit results reflect a need for improvement.  Ensure quality activities are evaluated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policy and procedures describes the appointment process.  The clinical manager confirmed that interviews are conducted and reference checking is being completed but the clinical manager was unable to locate the file with documented evidence to verify the reference checking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confirmed evidence of reference checking in only one of five files.  The clinical manager reported that reference checking is completed for all applicants prior to an appointment being made, but she was unable to locate the paperwork.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documented evidence to confirm reference checks are completed for new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signing sheets for regular and ‘as required’ medications corresponded with the instructions on the medication chart.  However, transcribing of medications was noted on four of ten medication signing charts reviewed.  ‘As required’ medications had ‘indications for use’ documented on the medication chart.  Standing orders are in use but have not been reviewed within the required timeframes.  The pharmacist completes a weekly stocktake of controlled drugs delivered with the RNs.  Eight of ten medication charts reviewed evidenced prescribing that aligns with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on warfarin did not have a signed warfarin medication order.  A telephone verbal order from the GP practice based on the INR result is received by the RN on duty.  Verbal orders received were not documented on the medication chart but were documented on a ‘Warfarin INR chart’.  The chart was evidenced to be signed by the RN but a GP signature and registration number was not included in the order.</w:t>
            </w:r>
          </w:p>
          <w:p w:rsidR="00EB7645" w:rsidRPr="00BE00C7" w:rsidP="00BE00C7">
            <w:pPr>
              <w:pStyle w:val="OutcomeDescription"/>
              <w:spacing w:before="120" w:after="120"/>
              <w:rPr>
                <w:rFonts w:cs="Arial"/>
                <w:b w:val="0"/>
                <w:lang w:eastAsia="en-NZ"/>
              </w:rPr>
            </w:pPr>
            <w:r w:rsidRPr="00BE00C7">
              <w:rPr>
                <w:rFonts w:cs="Arial"/>
                <w:b w:val="0"/>
                <w:lang w:eastAsia="en-NZ"/>
              </w:rPr>
              <w:t>(ii)  Standing orders have not been reviewed annually. Last date of review occurred in 2014.</w:t>
            </w:r>
          </w:p>
          <w:p w:rsidR="00EB7645" w:rsidRPr="00BE00C7" w:rsidP="00BE00C7">
            <w:pPr>
              <w:pStyle w:val="OutcomeDescription"/>
              <w:spacing w:before="120" w:after="120"/>
              <w:rPr>
                <w:rFonts w:cs="Arial"/>
                <w:b w:val="0"/>
                <w:lang w:eastAsia="en-NZ"/>
              </w:rPr>
            </w:pPr>
            <w:r w:rsidRPr="00BE00C7">
              <w:rPr>
                <w:rFonts w:cs="Arial"/>
                <w:b w:val="0"/>
                <w:lang w:eastAsia="en-NZ"/>
              </w:rPr>
              <w:t>(iii) Transcribing of medication orders was noted on four medication signing charts (three hospital and one rest home).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medications orders are signed and dated by a GP.</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Standing Orders are reviewed as per MOH medication guidelines.</w:t>
            </w:r>
          </w:p>
          <w:p w:rsidR="00EB7645" w:rsidRPr="00BE00C7" w:rsidP="00BE00C7">
            <w:pPr>
              <w:pStyle w:val="OutcomeDescription"/>
              <w:spacing w:before="120" w:after="120"/>
              <w:rPr>
                <w:rFonts w:cs="Arial"/>
                <w:b w:val="0"/>
                <w:lang w:eastAsia="en-NZ"/>
              </w:rPr>
            </w:pPr>
            <w:r w:rsidRPr="00BE00C7">
              <w:rPr>
                <w:rFonts w:cs="Arial"/>
                <w:b w:val="0"/>
                <w:lang w:eastAsia="en-NZ"/>
              </w:rPr>
              <w:t>(iii) Transcribing of medications on medication signing charts is to cease.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initial assessments and assessment summaries were evident in printed format in two of three permanent resident files reviewed.  Two InterRAI assessments had been completed outside of the required timeframe.  Other facility clinical risk assessment tools provide further means of assessing care needs and are an add-on to the InterRAI assessment.  Progress notes documentation by caregivers was regular and comprehensive. Follow-up of any caregivers concerns with regards to resident’s health condition were documented by a registered nurse. Care plans were not consistently updated when there was a change to residents’ needs (link 1.3.6.1).  Three of three activity plans for permanent residents were not evidenced to be reviewed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resident files reviewed where an InterRAI assessment was contractually required, one had not been completed and two had been completed outside of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Three permanent resident files reviewed did not evidence that activity plan evaluations had been completed monthly and six monthly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InterRAI assessments are completed within the required timeframes and/or when there is a change in the resident’s condition and that activity plans are reviewed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care plans reviewed contained appropriate interventions to meet the residents’ identified needs. Examples were sighted where short-term care plans were in place and had been reviewed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eleven of twelve wounds.  Not all wound care documentation was fully completed or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care plans for two residents with unintentional weight loss recorded (one resident with 3kg weight loss in three months and one resident with 7kg weight loss over six months) had not been updated to reflect the nutritional and dietary interventions that were observed currently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care plan of one hospital resident with a stage-2 pressure injury had not been updated to reflect the pressure injury and appropriate pressure relieving management interventions that were observed implemented, for example, alternating air wave mattress sighted on bed and two hourly changes of position, which were documented on turning charts sighted.  </w:t>
            </w:r>
          </w:p>
          <w:p w:rsidR="00EB7645" w:rsidRPr="00BE00C7" w:rsidP="00BE00C7">
            <w:pPr>
              <w:pStyle w:val="OutcomeDescription"/>
              <w:spacing w:before="120" w:after="120"/>
              <w:rPr>
                <w:rFonts w:cs="Arial"/>
                <w:b w:val="0"/>
                <w:lang w:eastAsia="en-NZ"/>
              </w:rPr>
            </w:pPr>
            <w:r w:rsidRPr="00BE00C7">
              <w:rPr>
                <w:rFonts w:cs="Arial"/>
                <w:b w:val="0"/>
                <w:lang w:eastAsia="en-NZ"/>
              </w:rPr>
              <w:t>(iii) Wound care documentation was incomplete for three of nine wounds in the hospital unit. Three assessments did not document the classification of wound and timeframes for review. One hospital resident with a recent wound did not have a wound assessment or short-term care plan in place to document the interventions required. Interviews identified staff were managing the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care plans are updated when there is a change in resident need.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wound assessment and management plans are fully documented and followed and that all wounds have interventions documented in either a short-term care plan with regular documentation reviews, or in a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Lexall Limited</w:t>
    </w:r>
    <w:bookmarkEnd w:id="58"/>
    <w:r>
      <w:rPr>
        <w:rFonts w:cs="Arial"/>
        <w:sz w:val="16"/>
        <w:szCs w:val="20"/>
      </w:rPr>
      <w:tab/>
      <w:t xml:space="preserve">Date of Audit: </w:t>
    </w:r>
    <w:bookmarkStart w:id="59" w:name="AuditStartDate1"/>
    <w:r>
      <w:rPr>
        <w:rFonts w:cs="Arial"/>
        <w:sz w:val="16"/>
        <w:szCs w:val="20"/>
      </w:rPr>
      <w:t>16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