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Mitchell Court (Tauranga)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Mitchell Court (Tauranga)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Mitchell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November 2016</w:t>
      </w:r>
      <w:bookmarkEnd w:id="7"/>
      <w:r w:rsidRPr="009418D4">
        <w:rPr>
          <w:rFonts w:cs="Arial"/>
        </w:rPr>
        <w:tab/>
        <w:t xml:space="preserve">End date: </w:t>
      </w:r>
      <w:bookmarkStart w:id="8" w:name="AuditEndDate"/>
      <w:r w:rsidR="00A4268A">
        <w:rPr>
          <w:rFonts w:cs="Arial"/>
        </w:rPr>
        <w:t>23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Mitchell Court is privately owned and operated and cares for up to 35 residents requiring rest home level care.  On the day of the audit there were 20 residents.  The service is managed by an owner manager (non-clinical) who is supported by a clinical nurse manager and a facility coordinator.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one of five shortfalls from the previous certification audit around open disclosure.  </w:t>
      </w:r>
    </w:p>
    <w:p w:rsidRPr="00A4268A">
      <w:pPr>
        <w:spacing w:before="240" w:line="276" w:lineRule="auto"/>
        <w:rPr>
          <w:rFonts w:eastAsia="Calibri"/>
        </w:rPr>
      </w:pPr>
      <w:r w:rsidRPr="00A4268A">
        <w:rPr>
          <w:rFonts w:eastAsia="Calibri"/>
        </w:rPr>
        <w:t>Improvements continue to be required in relation to advance directives, analysis of quality improvement data, evaluation of activities plans and medication management.</w:t>
      </w:r>
    </w:p>
    <w:p w:rsidRPr="00A4268A">
      <w:pPr>
        <w:spacing w:before="240" w:line="276" w:lineRule="auto"/>
        <w:rPr>
          <w:rFonts w:eastAsia="Calibri"/>
        </w:rPr>
      </w:pPr>
      <w:r w:rsidRPr="00A4268A">
        <w:rPr>
          <w:rFonts w:eastAsia="Calibri"/>
        </w:rPr>
        <w:t xml:space="preserve">This surveillance audit identified further improvements required in relation to informed consent, assessments, interRAI timeframes, interventions and evaluations.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 that they are kept informed.  Residents and their families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goals are documented for the service.  An owner manager and a clinical nurse manager are responsible for the day-to-day operations of the facility.  </w:t>
      </w:r>
    </w:p>
    <w:p w:rsidRPr="00A4268A">
      <w:pPr>
        <w:spacing w:before="240" w:line="276" w:lineRule="auto"/>
        <w:rPr>
          <w:rFonts w:eastAsia="Calibri"/>
        </w:rPr>
      </w:pPr>
      <w:r w:rsidRPr="00A4268A">
        <w:rPr>
          <w:rFonts w:eastAsia="Calibri"/>
        </w:rPr>
        <w:t xml:space="preserve">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meeting legislative requirements.  An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Nursing cover is provided by two registered nurses.  A registered nurse is always on call when not available on-site.  There are adequate numbers of staff on duty to ensure residents care needs are met.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 input.  Care plans viewed in resident records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recreation coordinator provides an activities programme for the residents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Care staff and registered nurses who administer medication complete education and medication competencies. </w:t>
      </w:r>
    </w:p>
    <w:p w:rsidRPr="00A4268A" w:rsidP="00621629">
      <w:pPr>
        <w:spacing w:before="240" w:line="276" w:lineRule="auto"/>
        <w:rPr>
          <w:rFonts w:eastAsia="Calibri"/>
        </w:rPr>
      </w:pPr>
      <w:r w:rsidRPr="00A4268A">
        <w:rPr>
          <w:rFonts w:eastAsia="Calibri"/>
        </w:rPr>
        <w:t>All meals are prepared on-site.  Food, fridge and freezer temperatures are recorded.  Individual and special dietary needs are catered for.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No restraints or enablers are being used by the service.  Staff receive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 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2"/>
        <w:gridCol w:w="1280"/>
        <w:gridCol w:w="101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included in the admission agreement and additional consents are signed by the resident or their EPOA.  Improvements are required around the signing of an admission agreement and the obtaining of consent for short stay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are signed for separately.  Not all clinically indicated ‘not for resuscitation’ orders, completed by the GP evidenced that this decision had been discussed with the family or EPOA.  Not all advanced directives have been correctly documented. The previous audit finding related to advanced directives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 assistants and the clinical nurse manager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resident files sampled have a signed admission agreement that includes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the requirements set by the Health and Disability Commissioner (HDC).  The complaints process is linked to the quality and risk management programme.  Complaints forms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six residents (including one respite resident) and three family members confirmed that they understand the complaints process.  They also confirmed that the managers and staff are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One complaint has been lodged since the previous audit.   The complaints register included all information and correspondence related to the complaint.  Timeframes for responding to the complaint were met and the complaint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 resident must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which was evidenced on the family communication form held in each resident’s file sampled.  Two-three monthly residents’ meetings provide a forum for residents to discuss issues or concerns. Nine accident and incident forms sampled evidenced that families are notified following any adverse event. </w:t>
            </w:r>
          </w:p>
          <w:p w:rsidR="00EB7645" w:rsidRPr="00BE00C7" w:rsidP="00BE00C7">
            <w:pPr>
              <w:pStyle w:val="OutcomeDescription"/>
              <w:spacing w:before="120" w:after="120"/>
              <w:rPr>
                <w:rFonts w:cs="Arial"/>
                <w:b w:val="0"/>
                <w:lang w:eastAsia="en-NZ"/>
              </w:rPr>
            </w:pPr>
            <w:r w:rsidRPr="00BE00C7">
              <w:rPr>
                <w:rFonts w:cs="Arial"/>
                <w:b w:val="0"/>
                <w:lang w:eastAsia="en-NZ"/>
              </w:rPr>
              <w:t>Three family members interviewed stated they are kept informed about changes in their family member’s health condition and notified following any accident or incident.  The previous audit finding related to open disclosure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DHB interpreter services and residents.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Mitchell Court is privately owned and operated and provides rest home level care for up to 35 residents.  On the day of the audit there were 20 residents living at the facility  (including two residents on respite care).</w:t>
            </w:r>
          </w:p>
          <w:p w:rsidR="00EB7645" w:rsidRPr="00BE00C7" w:rsidP="00BE00C7">
            <w:pPr>
              <w:pStyle w:val="OutcomeDescription"/>
              <w:spacing w:before="120" w:after="120"/>
              <w:rPr>
                <w:rFonts w:cs="Arial"/>
                <w:b w:val="0"/>
                <w:lang w:eastAsia="en-NZ"/>
              </w:rPr>
            </w:pPr>
            <w:r w:rsidRPr="00BE00C7">
              <w:rPr>
                <w:rFonts w:cs="Arial"/>
                <w:b w:val="0"/>
                <w:lang w:eastAsia="en-NZ"/>
              </w:rPr>
              <w:t>A mission statement and associated values have been developed for the service.  Quality goals and objectives are established and reviewed annually.  The facility is part of the Cavell Group.  This group, which is comprised of five aged care facilities, share policies and procedures, provide internal auditing support for each other and provide an avenue for collegial support.  The group meets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of the facility is the facility manager.  The owner manager (non-clinical) is supported by a clinical nurse manager who has been in the role five months. The clinical manager is new to clinical management and has previous aged care experience as a registered nurse.  A new registered nurse position has been created as a facility coordinator and the person commenced in the role the day before the audit. The facility coordinator had had previous aged care management experience.   </w:t>
            </w:r>
          </w:p>
          <w:p w:rsidR="00EB7645" w:rsidRPr="00BE00C7" w:rsidP="00BE00C7">
            <w:pPr>
              <w:pStyle w:val="OutcomeDescription"/>
              <w:spacing w:before="120" w:after="120"/>
              <w:rPr>
                <w:rFonts w:cs="Arial"/>
                <w:b w:val="0"/>
                <w:lang w:eastAsia="en-NZ"/>
              </w:rPr>
            </w:pPr>
            <w:r w:rsidRPr="00BE00C7">
              <w:rPr>
                <w:rFonts w:cs="Arial"/>
                <w:b w:val="0"/>
                <w:lang w:eastAsia="en-NZ"/>
              </w:rPr>
              <w:t>The owner has owned the facility since 2011 and has been in the role of owner manager since June 2015.  The owner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documented.  Interviews with staff (three care assistants, clinical nurse manager, a kitchen manager and a recreation coordinator) confirmed their understanding of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being implemented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includes an internal audit programme and data collection, analysis and review of adverse events including accidents, incidents, infections, wounds and pressure areas.   There is evidence that quality data is being analysed.  A corrective action process is not always implemented where opportunities for improvements are identified.  The results of monitoring are not consistently being communicated to staff. The previous audit finding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Staff accidents and 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interventions on a case-by-case basis to minimise future falls.  Sensor mats are in place to reduce the number of falls for at risk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who either witnessed an adverse event or were the first to respond.  Nine incident forms were reviewed and all were completed appropriately and in a comprehensive manner.  All incident/accident forms reviewed reflected appropriate follow-up actions taken by registered nursing staff. The five residents’ files reviewed demonstrated documented accident/incident forms for that resident.  The events were also documented in the residents’ progress notes and documented that families had been advised of the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owner manager and clinical coordinator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and pharmacist.  Six staff files were reviewed (three care assistants, clinical nurse manager, one cleaner, one kitchen manager).  Evidence of signed employment contracts, job descriptions, orientation and training were available for sighting.  Annual performance appraisals for staff are conducted for all employees.  Interviews with care assistants described the orientation programme, which includes a period of supervision.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Components of education and training also include staff completing questionnaires and visual competency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Two RNs are employed by the service (the clinical nurse manager and the newly appointed facility coordinator).  Each RN works 40 hours per week.   An RN is available on call if not available on-site.  Care staff are adequately rostered to meet the needs of the residents.  Separate cleaning staff are employed by the service with care assistants undertaking the laundry.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staffing levels and the skill mix are appropriate and safe.   All residents and families interviewed advised that there is sufficient staffing on duty each shift.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(including a chart for one resident on respite care).  There are policies in place for safe medicine management that meet legislative requirements.  The medication charts reviewed identified that the GP had seen and reviewed the residents three-monthly. Shortfalls were identified around the charting of “as required medications” and over the counter preparations.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The staff interviewed could describe their role regarding medicine administration. Staff were observed to be safely administering medications.  The administration sheets reviewed evidenced that medication was being signed for and there was no evidence of transcribing.  Eye drops had been dated when opened.  The medication fridge temperatures are recorded regularly and these are within acceptable ranges.  There were no residents self-medicating on the day of audit. The documented standing orders does not currently meet standing order guidelines. The previous audit findings relating to medication management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on-site.  There is a food services manual in place to guide staff.  A resident nutritional profile is developed for each resident on admission and provided to the kitchen staff.  This document is reviewed at least six-monthly as part of the care plan review.  The kitchen can meet the needs of residents who need special diets and the chef works closely with the RN.  The kitchen staff have completed food safety training.  The kitchen manager and cook follow a five-weekly seasonal menu which has just been reviewed by a dietitian in October 2016.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 assistants follow the care plan and report progress against the care plan each shift at handover.  If external nursing or allied health advice is required, the RNs will initiate a referral (e.g., to the district nurse [wound care nurse] or the mental health nurses).  If external medical advice is required, this will be actioned by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manager and care staff demonstrated an understanding of the individualised care requirements and needs of the residents.  Care plan interventions in the files reviewed did not always describe the interventions required in specific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pressure injury prevention interventions such as two-hourly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Adequate dressing supplies were sighted in treatment rooms.  On the day of audit the clinical manager advised there were no wounds.  The clinical manager could describe the requirements of wound care documentation, pressure injury prevention and management and wound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 clinical manager was able to describe access to wound and continence specialist input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recreation coordinator is employed from 10 am to 4.30 pm, four days per week to operate the activities programme for all residents.  On the day of audit residents were observed participating in a variety of activities.  Each resident has an individual activities assessment on admission and from this information, an individual activities plan is developed by the activities staff.  The service is transitioning to new activity care plan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is free to choose whether they wish to participate in the group activities programme or their individual plan.  Participation is monitored.  Group activities reflect ordinary patterns of life and include planned visits to the community.  All long-term resident files sampled have a recent activity plan. The activities care plan is not being reviewed at the same time as the long-term care plan is reviewed. The previous finding related to the evaluation of the care plan remains open.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evaluated by the RN within three weeks of admission.  Long-term care plans had been reviewed at least six-monthly or earlier for any health changes.  Not all care plans had been evaluated against the stated goals. The GP reviews the residents at least three-monthly or earlier if required.  Evidence of three-monthly GP reviews were seen in all residents’ files sampled.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14 October 2017) and preventative maintenance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and appropriate to the complexity of service provided. 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restraint minimisation and safe practice policies applicable to the service.  Guidelines of the use of restraints policy ensures that enablers are voluntary, the least restrictive option and allows residents to maintain their independence. The clinical manager is the restraint coordinator.  During the audit, there were no residents using a restraint or an enabler.  Staff receive education and training around restraint minimisation and managing challenging behaviours.  Staff understand the difference between an enabler and a restraint.  The entrance to the facility is gated with the security code in a visible location on both sides of the gate.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7"/>
        <w:gridCol w:w="1280"/>
        <w:gridCol w:w="5360"/>
        <w:gridCol w:w="2973"/>
        <w:gridCol w:w="2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four of five files sampled that an admission agreement and written consents were signed by the resident or their EPOA on admission. The resident admitted for regular periods of respite had no signed consents and had not been provided with an admission agreement to sign for this or any previous admissions.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was admitted for regular periods of respite had not signed an admission agreement and had no other documented evidence of consent.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admitted for care have a signed admission agreement and all relevant consents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long-term resident files sampled have an advance directive on file. One of these is signed by the resident and the GP as for resuscitation.  Two have been signed by the GP as resuscitation not being clinically indicated and there is no documented evidence that there has been discussion with the family around this.  One advanced directive for a competent resident had been signed by the resident’s daughter (EPOA) and the GP as not for resuscitation. There was no documented evidence that resuscitation had been discussed with the resident.  The resident admitted for respite did not have an advanced directive documented.</w:t>
            </w:r>
          </w:p>
          <w:p w:rsidR="00EB7645" w:rsidRPr="00BE00C7" w:rsidP="00BE00C7">
            <w:pPr>
              <w:pStyle w:val="OutcomeDescription"/>
              <w:spacing w:before="120" w:after="120"/>
              <w:rPr>
                <w:rFonts w:cs="Arial"/>
                <w:b w:val="0"/>
                <w:lang w:eastAsia="en-NZ"/>
              </w:rPr>
            </w:pPr>
            <w:r w:rsidRPr="00BE00C7">
              <w:rPr>
                <w:rFonts w:cs="Arial"/>
                <w:b w:val="0"/>
                <w:lang w:eastAsia="en-NZ"/>
              </w:rPr>
              <w:t>This previous finding remains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i)Two of the five resident files sampled contain a clinically indicated ‘not for resuscitation’ order signed by the GP but there is no evidence of this being discussed with the family.</w:t>
            </w:r>
          </w:p>
          <w:p w:rsidR="00EB7645" w:rsidRPr="00BE00C7" w:rsidP="00BE00C7">
            <w:pPr>
              <w:pStyle w:val="OutcomeDescription"/>
              <w:spacing w:before="120" w:after="120"/>
              <w:rPr>
                <w:rFonts w:cs="Arial"/>
                <w:b w:val="0"/>
                <w:lang w:eastAsia="en-NZ"/>
              </w:rPr>
            </w:pPr>
            <w:r w:rsidRPr="00BE00C7">
              <w:rPr>
                <w:rFonts w:cs="Arial"/>
                <w:b w:val="0"/>
                <w:lang w:eastAsia="en-NZ"/>
              </w:rPr>
              <w:t>ii)One ‘not for resuscitation’ order for a competent resident has been signed by the GP and the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when the GP completes a clinically indicated not for resuscitation order that there is documented evidence that this has been discussed with the family or 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advanced directives are signed in accordance with all the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data is collected and analysed each month (e.g., falls, infections, skin tears, medication errors) and where required, corrective action plans are implemented. However, the corrective actions being implemented are not being consistently documented or the actions evaluated and signed out.   There was evidence of regular audits being completed, as part of the quality management programme. Where this monitoring has identified areas for improvement, corrective action plans have not been consistently documented and the result of the monitoring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i)Corrective actions have been implemented to reduce the incidence of falls and chest infections.  The corrective actions that have been implemented have not been consistently documented, evaluated or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Where scheduled monitoring has identified, areas requiring improvement (charting of prn medication, interRAI assessments, replacement of curtains) corrective action plans have not been consistently documented and the results of the monitoring have not been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Where areas of improvements are identified, ensure that corrective plans are documented and once implemented, the plan is evaluated and signed off.  Ensure the results of monitoring and the corrective action plans implemented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Mitchell Court has a documented medication policy which complies with all legislative and contractual requirements. Medication charts are prescribed by the GP and the medication charts are reviewed six-monthly. There is a process in place for medication reconciliation. Staff who administer medication complete an annual medication competency. Medication is securely stored. The documented standing orders in use do not specify the resident the standing orders apply to, the contraindications for each medication and consistently document the route for administration.  There is a corrective action plan in place to discontinue the use of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In the medication files reviewed, the GP had prescribed the medication to be administered to the resident on admission and then reviewed the medications prescribed at least every three months.  Not all indications for use had been documented for ‘as required’ medications.  One resident was being administered over the counter preparations (Omega and Joint Care) that had not been prescribed by a GP.  These medications were discounted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(i)Standing orders in use do not comply with organisational policy or MOH guidelines for the use of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(ii)Seven of ten medication charts sampled did not have indications for use documented for ‘as required’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(iii)One of ten signing sheets reviewed evidenced that over the counter preparations were being regularly administered that had not been prescribed by a medical practitioner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standing orders in use comply with all guidelines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(ii)Ensure that ‘indications for use’ are charted for all ‘as required’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medications and over the counter preparations to be administered to a resident are prescribed correctly.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responsible for all aspects of assessment and care planning. In three of four long-term care plans sampled, the initial assessment and the initial care plan had been completed by a registered nurse. One long-term resident had the initial assessment and initial care plan completed by an administration staff member. The interRAI assessments and the long-term care plans in the files sampled had all been documented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five resident files evidenced the initial assessment and the initial care plan were not completed and documented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initial assessments and initial care plans are completed by a registered nurse or enrolled nurse under the direction of the 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sampled, interRAI assessments where completed for all residents requiring an interRAI assessments but not all interRAI assessments were completed in the required timeframes. There is one RN trained in interRAI.  Long-term care plans reviewed were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respite resident who was regularly admitted for periods of respite had not had an initial assessment completed on admission and the short-term care plan on file updated to reflect the change in health condition since the last admission.   The initial assessments and the short-term care plan were completed and updated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five resident files had not had the initial interRAI assessments completed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five resident files had not had the interRAI assessment completed at last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iii)One respite resident who was regularly admitted for periods of respite, had not had an initial assessment completed for the current admission or the short-term care plan on file updated to reflect the recent change in health condition.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interRAI assessments are completed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iii)Ensure that an initial assessment and an initial care plan is documented (based on the assessment information) for all respite residents for each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from assessments, monitoring charts, observations and interviews with residents, staff and families to develop the care plan. All residents have been commenced on the interRAI and the service is currently aligning six-monthly interRAI assessments with the review of the long-term care plan. Interventions had not been documented in sufficient detail to guide the care staff in three off five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were reviewed for seven wounds that have now healed and the wound care documentation was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were not documented in sufficient detail to guide care staff for i) one resident with postural hypotension, chronic pain, short-term memory loss and at risk of malnutrition ii) one resident with mental health needs, Meniere’s disease and hearing loss, iii) one resident with short-term memory loss, back pain, macular degeneration and visual disturbance.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interventions are documented in sufficient detail to guide the care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long-term residents have an activity care plan with individualised goals and interventions that have been developed within the last six months. In the files sampled all long-term residents have had a six-monthly review of their activity plan, however the activity plan had had not been reviewed at the same time as the review of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four activity plans had been reviewed six-monthly but the activity care plan review had not occurred at the same time as the review of the long-term care plan (ARC 16.5ciii).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activity plans are reviewed as part of the review of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evaluation of the long-term care plan six-monthly. Short-term care plans were reviewed and signed out within 3 weeks or if the change in health condition had become chronic, the interventions were added to the long-term care plan.  Not all sections of the long-term care plan had documented evaluations and not all care plans had been evaluated against the stated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long-term care plans reviewed were not evaluated against the stated goals and not all sections of the care plan had been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evaluated against the stated goals and all sections of the care plan are evaluated at least six-monthly.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Mitchell Court (Tauranga) Limited</w:t>
    </w:r>
    <w:bookmarkEnd w:id="58"/>
    <w:r>
      <w:rPr>
        <w:rFonts w:cs="Arial"/>
        <w:sz w:val="16"/>
        <w:szCs w:val="20"/>
      </w:rPr>
      <w:tab/>
      <w:t xml:space="preserve">Date of Audit: </w:t>
    </w:r>
    <w:bookmarkStart w:id="59" w:name="AuditStartDate1"/>
    <w:r>
      <w:rPr>
        <w:rFonts w:cs="Arial"/>
        <w:sz w:val="16"/>
        <w:szCs w:val="20"/>
      </w:rPr>
      <w:t>22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