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Servces NZ Limited - Tasman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Tasman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November 2016</w:t>
      </w:r>
      <w:bookmarkEnd w:id="7"/>
      <w:r w:rsidRPr="009418D4">
        <w:rPr>
          <w:rFonts w:cs="Arial"/>
        </w:rPr>
        <w:tab/>
        <w:t xml:space="preserve">End date: </w:t>
      </w:r>
      <w:bookmarkStart w:id="8" w:name="AuditEndDate"/>
      <w:r w:rsidR="00A4268A">
        <w:rPr>
          <w:rFonts w:cs="Arial"/>
        </w:rPr>
        <w:t>15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Tasman Care Home and Hospital is part of the Bupa group.  The service is certified to provide rest home and hospital (geriatric and medical) care for up to 72 residents.  On the day of the audit there were 64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 xml:space="preserve">The newly appointed care home manager has a background in management.  The care home manager is supported by an experienced clinical manager and the Bupa operations manager.  Feedback from resident and relative interviews was positive in regards to care provided.  </w:t>
      </w:r>
    </w:p>
    <w:p w:rsidRPr="00A4268A">
      <w:pPr>
        <w:spacing w:before="240" w:line="276" w:lineRule="auto"/>
        <w:rPr>
          <w:rFonts w:eastAsia="Calibri"/>
        </w:rPr>
      </w:pPr>
      <w:r w:rsidRPr="00A4268A">
        <w:rPr>
          <w:rFonts w:eastAsia="Calibri"/>
        </w:rPr>
        <w:t>Five of seven shortfalls identified at the previous audit have been addressed around communication, corrective actions, neurological observations, access to activities programme, and staffing.   Further improvements continue to be required around assessments and medication management.</w:t>
      </w:r>
    </w:p>
    <w:p w:rsidRPr="00A4268A">
      <w:pPr>
        <w:spacing w:before="240" w:line="276" w:lineRule="auto"/>
        <w:rPr>
          <w:rFonts w:eastAsia="Calibri"/>
        </w:rPr>
      </w:pPr>
      <w:r w:rsidRPr="00A4268A">
        <w:rPr>
          <w:rFonts w:eastAsia="Calibri"/>
        </w:rPr>
        <w:t xml:space="preserve">This audit also identified improvements required around staff training, orientation documentation, analysis of quality data and hazard management, and wound care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regular reviews.  Corrective actions are implemented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provided on a regular basis.  Registered nursing staff are available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utilise the InterRAI assessment to assess, plan and evaluate care needs of the residents.  Care plans reviewed were developed in consultation with the resident and/or family.  Care plans demonstrate service integration.  Resident files include three monthly reviews by the general practitioner. There was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 electronic records reviewed included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There are activities programmes in place for the rest home, and hospital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 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there was one resident using restraint and no residents were using an enabler.  Restraint management processes are adhered to.</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0"/>
        <w:gridCol w:w="1280"/>
        <w:gridCol w:w="103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the entrance to the facility.  Information about complaints is provided during entry to the service.  Interviews with eight residents (three rest home, five hospital) and families, demonstrated their understanding of the complaints process.  The care home manager and seven staff interviewed (two caregivers, three registered nurses (RNs), one kitchen manager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Complaints for 2016 (year to date) were reviewed.  All complaints documented in the register included an investigation, met expected timeframes and corrective actions were put into place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families confirmed that issues are addressed promptly and that they feel comfortable to bring up any concerns with the care home manager.  The care home manager reports that he has an open door policy and is able to deal with concerns promptly before they are escalated.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Communication with family/whānau is recorded on the family/whānau communication record and on the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Communication with residents and families was evidenced in the two monthly resident/family meeting minutes.  Fifteen accident/incident forms were reviewed and reflected evidence of informing next of kin following an adverse event.  Interviews with three families (hospital level) confirmed that communication was good and that it has improved since the new care home manager has been employed.  These are improvements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Residents and their family are informed prior to entry of the scope of services of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Tasman Care Home is a Bupa residential care facility.  The service is certified to provide rest home and hospital (geriatric and medical) level care.  There are 72 dual-purpose beds in the care facility and 10 serviced apartments that are approved for rest home level of care.  During the audit, there were 64 residents in the care facility (29 rest home, 35 hospital).  One hospital level resident was on respite and five hospital level residents were on the interim care DHB contract.  There were no rest home level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72 dual-purpose rooms are located across three floors.  Floor one, included 21 rest home residents; floor two, included three rest home and 20 hospital level residents;  floor three, three rest home level and 17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A vision, values and objectives are documented for the organisation.  Annual goals, specific to Bupa Tasman Care have been determined.  These goals link to the overarching Bupa strategic plan and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his role since July 2016.  His extensive experience in managerial roles does not include roles in the health and disability sector.  He shadowed an experienced care home manager for three weeks as part of his orientation.  He is supported by a clinical manager/registered nurse (RN) who has worked for Bupa for eight years and has been in her role at Bupa Tasman Care for three months.  She is currently working towards a master’s degree in advanced nursing.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Interviews with the care home manager, clinical manager and staff reflected their understanding of the quality and risk management systems that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and collation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Quality data is benchmarked against other similar Bupa facilities.  Missing is evidence that the collated data has been trended to identify any variances.</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routinely documented where opportunities for improvements have been identified.  Corrective actions around quality data results are resident-specific.  There is evidence that they have been implemented and signed off by a manager when completed.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(Bfit) is in place, which is linked to the overarching Bupa National Health and Safety Plan.  Health and safety goals are reviewed quarterly.  A health and safety officer has not been appointed.  The care home manager is fulfilling this role in the interim.  Hazard identification forms and a hazard register are in place.  The hazard register is overdue for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quality and risk management programme and is used for comparative purposes (link to finding 1.2.3.6).  Fifteen accident/incident forms were randomly selected for review.  Each event involving a resident reflected a clinical assessment and follow-up by a RN.  Neurological observations are completed for any unwitnessed fall or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are aware of their responsibilities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cover recruitment, selection, orientation, and staff training and development.  Five staff files reviewed (one clinical manager/RN, one staff RN, three caregivers) evidenced implementation of the recruitment process, employment contracts, and annual performance appraisals.  Current practising certificates for all health professionals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This programme is developed specifically to worker type and includes documented competencies.  New staff are also buddied with experienced staff for a period of time.  Newly appointed caregivers complete an orientation booklet that has been aligned with foundation skills unit standards.  Missing, was evidence of caregivers submitting their completed workbooks with the required timeframe.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that is being implemented.  Opportunistic education is provided via toolbox talks.  Core competencies are completed annually with a record of completion maintained.  RNs complete annual competencies specific to their role including but not limited to medication management.  Five of nine RNs have completed their InterRAI training.  Missing was evidence of the availability of staff trained in first aid/CPR on all night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The care home manager and clinical manager are available during weekdays.  The clinical manager provides clinical oversight.</w:t>
            </w:r>
          </w:p>
          <w:p w:rsidR="00EB7645" w:rsidRPr="00BE00C7" w:rsidP="00BE00C7">
            <w:pPr>
              <w:pStyle w:val="OutcomeDescription"/>
              <w:spacing w:before="120" w:after="120"/>
              <w:rPr>
                <w:rFonts w:cs="Arial"/>
                <w:b w:val="0"/>
                <w:lang w:eastAsia="en-NZ"/>
              </w:rPr>
            </w:pPr>
            <w:r w:rsidRPr="00BE00C7">
              <w:rPr>
                <w:rFonts w:cs="Arial"/>
                <w:b w:val="0"/>
                <w:lang w:eastAsia="en-NZ"/>
              </w:rPr>
              <w:t>There are 72 dual-purpose beds located on three floors.  Floor one, had 21 rest home residents and is staffed with an RN on the AM shift and shares an RN on the PM shift.  This is an improvement from the previous audit.  Floor two, has three rest home and 20 hospital level residents.  An RN is staffed on the AM and PM shifts.  This RN also covers floor one during the PM shift.  Floor three, had 17 hospital level and three rest home level residents and is staffed with an RN on the AM and PM shifts.  One RN covers the entire facility during the night shift.  Interviews with residents and family confirmed that staffing levels were adequate to safely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The care home manager and clinical manager are available during weekdays.  The clinical manager provides clinical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service uses an electronic medication management system. The RN checks all medications on delivery against the medication and any pharmacy errors recorded and fed back to the supplying pharmacy.  The medication rooms in all three areas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caregivers responsible for the administering of medications have completed annual medication competencies and annual medication education.  Registered nurses have completed syringe driver competency. The lunchtime medication round was observed on level two and was completed correctly.  Twelve medication charts were reviewed (a selection from each area/level).  Photo identification and allergy status were on all twelve charts.  All medication charts had been reviewed by the GP at least three monthly.  All electronic resident medication administration-signing sheets corresponded with the medication chart.  Indication for use of ‘as required’ medications was documented on electronic medication charts. This finding from the previous audit has been addressed.  There is a process for checking that stored medications are within their expiry date.  However, expired medications were found in the treatment room on level two.</w:t>
            </w:r>
          </w:p>
          <w:p w:rsidR="00EB7645" w:rsidRPr="00BE00C7" w:rsidP="00BE00C7">
            <w:pPr>
              <w:pStyle w:val="OutcomeDescription"/>
              <w:spacing w:before="120" w:after="120"/>
              <w:rPr>
                <w:rFonts w:cs="Arial"/>
                <w:b w:val="0"/>
                <w:lang w:eastAsia="en-NZ"/>
              </w:rPr>
            </w:pPr>
            <w:r w:rsidRPr="00BE00C7">
              <w:rPr>
                <w:rFonts w:cs="Arial"/>
                <w:b w:val="0"/>
                <w:lang w:eastAsia="en-NZ"/>
              </w:rPr>
              <w:t>Anti-psychotic management plans are used for residents using anti-psychotic medications when medications are commenced, discontinued or changed. The general practitioner reviews the anti-psychotic management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manager oversees the food services and is supported by kitchen staff on duty each day.  The national menus have been audited and approved by an external dietitian.  The main meal is at lunchtime.  All baking and meals are cooked on-site in the main kitchen.  Meals are delivered in bain-maries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There is evidence of residents’ cultural nutritional needs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bain-maries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new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 interventions documented in care plans had not been fully implemented, a review of care plans, progress notes and monitoring charts evidences that this finding has been addressed (however also link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wound assessment, wound management and evaluation forms and short-term care plans were not in place for wounds.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12 wounds documented for the rest home and hospital residents (over three floors).  The wound care specialist had reviewed the more serious wounds and wound care plans reflected the specialist input.  There were five pressure injuries being treated; three unstageable, one stage-2 and one stage-1.</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examples sighted included (but not limited to), weight and vital signs, blood glucose, pain, food and fluid, turning charts, restraint monitoring and behaviour monitoring as required.  Turning charts and observation charts were completed to evidence that monitoring was consistently being carried out in the prescribed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activity coordinator. The facility is currently recruiting for an activity assistant to assist with the delivery of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on level two for group activities.  Residents from floors one and three were brought to the large lounge area on level two by care staff.  Residents were observed to be provided with and enjoying a range of group activities during the audit, which included an exercise programme, crafts and entertainment. There are resources available for care staff to use for one-on-one time with the residents.  Residents interviewed reported that the activities programme was varied and that staff ensured that they were reminded and/or assisted to come to the lounge area on level two to join in group activities of interest.  The residents interviewed confirmed that although the main group activities take place on the second floor, activities take place in all areas.  This finding from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was evidenced to be reviewed at the same time as the care plan in four permanent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There is a comprehensive multi-disciplinary review documented.  The multi-disciplinary review involves the RN, GP, physiotherapist,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date 16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staff confirmed their understanding of restraints and enablers.  The clinical manager is the restraint coordinator until a suitable replacement can be identified.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service had one resident using restraint.  No residents were using an enabler.  There are clear guidelines in the policy to determine what a restraint and what an enabler are.  The restraint standards are being implemented and implementation is reviewed through internal audits, facility meetings, Bupa regional restraint meetings and at an organisational level.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2"/>
        <w:gridCol w:w="1280"/>
        <w:gridCol w:w="4324"/>
        <w:gridCol w:w="2678"/>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per the 2016 internal audit schedule. This includes a six-monthly ‘facility health check’ which is completed by an external Bupa employee trained in quality and auditing processes.  The monthly monitoring, and collation of quality and risk data includes (but is not limited to) residents’ falls, infection rates, complaints received, restraint use, pressure areas, wounds, and medication errors.  Data is benchmarked against other Bupa facilities.  Missing is evidence of the data being trended and analysed to accurately identify areas for improvements.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range of quality and risk data is collected and collated each month but evidence of the data being trended or analysed is missing.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and risk data reflects any trends and analysis to assist in identifying areas for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which is governed at a Bupa organisational level, is being implemented by the service.  Health and safety goals are identified for the service.  These goals are reviewed every quarter.  The care home manager reports that a health and safety officer has not been appointed and that he is undertaking this role at present.  He reports that he has not undergone health and safety training for ‘many years’ and that since his appointment, the focus has been on care delivery.  Hazard identification forms are available at the nursing stations.  The hazard register is overdue for its annual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trained health and safety officer has not been appointed to the service.  The hazard register is overdue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health and safety officer is appointed, who receives training on this role and its responsibilities. Ensure the hazard register is reviewed a minimum of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in place for new staff.  Evidence of a completed orientation programme was sighted in two RN files but was available in only one of four caregiver files. (Note: the caregiver sample size was increased).  Caregivers interviewed confirmed that the orientation programme was comprehensive but that they sometimes forget to hand in their completed paperwork.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completed orientation programmes was missing in four of five caregiver staff files. (Note: sample size expanded).  Caregivers confirmed that the orientation programme was robust.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caregivers submit their orientation workbooks within the first three months of their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developed a comprehensive education and training programme for staff that includes in-services, toolbox talks during staff handovers, and annual competencies.  Missing was evidence to confirm that a staff member trained in first aid/CPR is available 24/7.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shift does not always have at least one staff member with a current first aid/CPR certificate on duty.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minimum of one staff is available 24/7 with a current first aid/CPR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policies and procedures meet recognised guidelines and legislation.  Medication administration practice complies with the medication management policy for the medication rounds sighted.  Medication prescribed is signed for correctly for the sample of twelve medication charts reviewed.  No expired medications were found in level one and three treatment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Glucagon injections were found stored in the medication fridge on level two, which had expired in September 2016.  These were returned to the pharmacy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process implemented to ensure that medications remain within their expiry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were evidenced completed in three of four permanent residents.  Care plans for three of four permanent residents where evidenced to be reviewed six monthly or when there was a change to the residents’ needs (one was a recent admission and did not require an evaluation yet).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 InterRAI assessment was not evidenced to be completed for a resident who had been admitted in September 2016.</w:t>
            </w:r>
          </w:p>
          <w:p w:rsidR="00EB7645" w:rsidRPr="00BE00C7" w:rsidP="00BE00C7">
            <w:pPr>
              <w:pStyle w:val="OutcomeDescription"/>
              <w:spacing w:before="120" w:after="120"/>
              <w:rPr>
                <w:rFonts w:cs="Arial"/>
                <w:b w:val="0"/>
                <w:lang w:eastAsia="en-NZ"/>
              </w:rPr>
            </w:pPr>
            <w:r w:rsidRPr="00BE00C7">
              <w:rPr>
                <w:rFonts w:cs="Arial"/>
                <w:b w:val="0"/>
                <w:lang w:eastAsia="en-NZ"/>
              </w:rPr>
              <w:t>(ii)  The care plan for one resident with a 5.8% weight loss in one month had not been updated to reflect the current interventions.  However staff were observed implementing weight loss strategies including smoothies, adding cream to desserts and breakfast cereal and the completion of a food chart and weekly weight recordings.  Therefore this has been identified as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InterRAI assessments are completed within the required timeframe.</w:t>
            </w:r>
          </w:p>
          <w:p w:rsidR="00EB7645" w:rsidRPr="00BE00C7" w:rsidP="00BE00C7">
            <w:pPr>
              <w:pStyle w:val="OutcomeDescription"/>
              <w:spacing w:before="120" w:after="120"/>
              <w:rPr>
                <w:rFonts w:cs="Arial"/>
                <w:b w:val="0"/>
                <w:lang w:eastAsia="en-NZ"/>
              </w:rPr>
            </w:pPr>
            <w:r w:rsidRPr="00BE00C7">
              <w:rPr>
                <w:rFonts w:cs="Arial"/>
                <w:b w:val="0"/>
                <w:lang w:eastAsia="en-NZ"/>
              </w:rPr>
              <w:t>(ii) Ensure care plans are updated to reflect the current interventions being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wound management was documented and implemented for all minor wounds.  Pressure injury assessments, management and the management of associated risks were documented in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were not evidenced to be fully completed to describe the wound.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initial wound assessments did not fully describe the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 assessments are fully completed for all wounds, and that all wounds are entered onto the wound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Servces NZ Limited - Tasman Care Home</w:t>
    </w:r>
    <w:bookmarkEnd w:id="58"/>
    <w:r>
      <w:rPr>
        <w:rFonts w:cs="Arial"/>
        <w:sz w:val="16"/>
        <w:szCs w:val="20"/>
      </w:rPr>
      <w:tab/>
      <w:t xml:space="preserve">Date of Audit: </w:t>
    </w:r>
    <w:bookmarkStart w:id="59" w:name="AuditStartDate1"/>
    <w:r>
      <w:rPr>
        <w:rFonts w:cs="Arial"/>
        <w:sz w:val="16"/>
        <w:szCs w:val="20"/>
      </w:rPr>
      <w:t>15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