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Merrivale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Merrivale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December 2016</w:t>
      </w:r>
      <w:bookmarkEnd w:id="7"/>
      <w:r w:rsidRPr="009418D4">
        <w:rPr>
          <w:rFonts w:cs="Arial"/>
        </w:rPr>
        <w:tab/>
        <w:t xml:space="preserve">End date: </w:t>
      </w:r>
      <w:bookmarkStart w:id="8" w:name="AuditEndDate"/>
      <w:r w:rsidR="00A4268A">
        <w:rPr>
          <w:rFonts w:cs="Arial"/>
        </w:rPr>
        <w:t>14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Merrivale provides rest home, hospital (geriatric and medical) and dementia levels of care for up to 66 residents.  During the audit, there were 64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The care home manager is appropriately qualified and experienced and is supported by a clinical manager (registered nurse).  </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including residents that require hospital/medical, dementia and rest home level care. Implementation is supported through the Bupa quality and risk management programme that is individualised to Merrivale.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 xml:space="preserve">The facility has embedded the interRAI assessment protocols within its current documentation.  </w:t>
      </w:r>
    </w:p>
    <w:p w:rsidRPr="00A4268A">
      <w:pPr>
        <w:spacing w:before="240" w:line="276" w:lineRule="auto"/>
        <w:rPr>
          <w:rFonts w:eastAsia="Calibri"/>
        </w:rPr>
      </w:pPr>
      <w:r w:rsidRPr="00A4268A">
        <w:rPr>
          <w:rFonts w:eastAsia="Calibri"/>
        </w:rPr>
        <w:t>The service has achieved two continual improvement ratings relating to good practice and implementation of the quality system.</w:t>
      </w:r>
    </w:p>
    <w:p w:rsidRPr="00A4268A">
      <w:pPr>
        <w:spacing w:before="240" w:line="276" w:lineRule="auto"/>
        <w:rPr>
          <w:rFonts w:eastAsia="Calibri"/>
        </w:rPr>
      </w:pPr>
      <w:r w:rsidRPr="00A4268A">
        <w:rPr>
          <w:rFonts w:eastAsia="Calibri"/>
        </w:rPr>
        <w:t>This audit identified improvements required around aspects of resident care plans, monitoring of medication fridge temperatures and food labelling and storage.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Bupa Merrivale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Registered nursing cover is provided 24 hours a day, 7 days a week.  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 three-monthly reviews by a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three-monthly by the general practitioner/nurse practitioner.  </w:t>
      </w:r>
    </w:p>
    <w:p w:rsidRPr="00A4268A" w:rsidP="00621629">
      <w:pPr>
        <w:spacing w:before="240" w:line="276" w:lineRule="auto"/>
        <w:rPr>
          <w:rFonts w:eastAsia="Calibri"/>
        </w:rPr>
      </w:pPr>
      <w:r w:rsidRPr="00A4268A">
        <w:rPr>
          <w:rFonts w:eastAsia="Calibri"/>
        </w:rPr>
        <w:t>An activities programme is implemented separately for the rest home, hospital and dementia residents.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 xml:space="preserve">All food and baking is done on-site.  All residents' nutritional needs are identified and documented.  Choices are available and are provided.  The organisational dietitian reviews the Bupa menu plans. Nutritious snacks are available 24/7 in the dementia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 first aider is on duty at all times.  The facility temperature is comfortable and constant.  Electrical equipment has been tested and tagged.  All medical equipment and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Enablers are voluntary and the least restrictive option.  There were no residents who required enablers or restraints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87"/>
        <w:gridCol w:w="1280"/>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(fifteen caregivers, one enrolled nurse, four registered nurses, two unit coordinators, one activity coordinator, one cook, the clinical manager and care home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informed consent policies/procedures and advanced directives.  General consents obtained on admission were sighted in the eight residents’ files reviewed (two dementia, three hospital and three rest home which included one respite resident).  Advance directives if known were on the residents’ files.  Resuscitation plans for competent residents were appropriately signed.  Copies of enduring power of attorney (EPOA) were in resident files for residents deemed incompetent to make decisions.  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resident’s files reviewed had a signed admission agreement or were in the process of being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 three languages.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They have also created ongoing relationships with community groups that come to Merrivale, for example the Whangarei quilters association.  </w:t>
            </w:r>
          </w:p>
          <w:p w:rsidR="00EB7645" w:rsidRPr="00BE00C7" w:rsidP="00BE00C7">
            <w:pPr>
              <w:pStyle w:val="OutcomeDescription"/>
              <w:spacing w:before="120" w:after="120"/>
              <w:rPr>
                <w:rFonts w:cs="Arial"/>
                <w:b w:val="0"/>
                <w:lang w:eastAsia="en-NZ"/>
              </w:rPr>
            </w:pPr>
            <w:r w:rsidRPr="00BE00C7">
              <w:rPr>
                <w:rFonts w:cs="Arial"/>
                <w:b w:val="0"/>
                <w:lang w:eastAsia="en-NZ"/>
              </w:rPr>
              <w:t>Animal programmes such as the rescue pets, guide dogs and visits from the local police dog and constable have ensured residents have access to animals as therapy and form community connections.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meetings are held bi-monthly. Family members from the dementia unit are facilitated to attend the local Alzheimer’s Society meetings.   Monthly newsletters are provided to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complaints’ register.  Documentation including follow-up letters and resolution demonstrates that complaints are being managed in accordance with guidelines set forth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complaints were reviewed in their entirety and reflected evidence of responding to complaints in a timely manner with appropriate follow-up actions taken.  All six complaints were signed off by the care home manager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All six residents (three rest home -including one person receiving respite care and three hospital) and four relatives (one hospital and three dementia)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evidenced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Five residents who identify as Māori are living at the facility.  Two Māori residents interviewed (rest home) confirmed that Māori cultural values and beliefs are being met.  There is a partnership with the Pihiaweri and Ngaratunua Marae and residents are able to attend.  There are links to the local Ratana Church and residents are able to attend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Māori staff who are employed by the service.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trained to provide a supportive relationship based on sense of trust, security and self-esteem.  Interviews with two caregivers from the dementia unit could describe how they build a supportive relationship with each resident.  Interviews with three families from the dementia unit confirmed that staff are reassuring and assist to relieve resident’s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7 days a week, 24 hours a day.  A house GP visits the facility two days a week and provides an after-hours service.  The general practitioner (GP) reviews residents identified as stable every three months, with more frequent visits for those residents whose condition is not deemed stable.  The GP interviewed was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nurse specialist’s visits.  Physiotherapy services are provided on-site four hours per week with the support of a full-time physiotherapy assistant.  A dietitian is also available for urgent consultations.  There is a regular in-service education and training programme for staff.  A podiatrist is on-site every six 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and dementia services.  Bupa Merrivale is benchmarked against the rest home, hospital and dementia services data.  If the results are above the benchmark, a corrective action plan is developed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a number of examples of good practice including not using any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Twenty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An introduction to the dementia unit booklet provides information for family, friends and visitors visiting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Merrivale provides hospital (geriatric and medical), rest home and dementia level care for up to 66 residents. There are three dedicated respite beds (two dual-purpose and one hospital).  On the day of audit there were sixty-four residents including one hospital and one rest home resident receiving respite care.  There were 21 of 23 residents in rest home beds, and 28 of 28 hospital residents and 15 of 15 residents in the dementia care beds.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and are regularly reviewed by the care home manager.</w:t>
            </w:r>
          </w:p>
          <w:p w:rsidR="00EB7645" w:rsidRPr="00BE00C7" w:rsidP="00BE00C7">
            <w:pPr>
              <w:pStyle w:val="OutcomeDescription"/>
              <w:spacing w:before="120" w:after="120"/>
              <w:rPr>
                <w:rFonts w:cs="Arial"/>
                <w:b w:val="0"/>
                <w:lang w:eastAsia="en-NZ"/>
              </w:rPr>
            </w:pPr>
            <w:r w:rsidRPr="00BE00C7">
              <w:rPr>
                <w:rFonts w:cs="Arial"/>
                <w:b w:val="0"/>
                <w:lang w:eastAsia="en-NZ"/>
              </w:rPr>
              <w:t>A quarterly report is prepared by the care home manager and sent to the Bupa quality and risk team on the progress and actions that have been taken to achieve the Merrivale quality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is a registered occupational therapist.  The manager has experience working in allied health leadership roles with the over 65-year age group within the DHB.  She is supported by an experienced clinical manager/registered nurse (CM) who has been in the role for six weeks. The clinical manager has previous experience working as a clinical nurse specialist (rehabilitation) in a DHB hospital. The care home manager and CM are supported by a Bupa Regional Manager, Bupa relieving care home manager and unit coordinators/RNs.  The relieving Bupa care home manager and regional manager attended the audit. The care home manager and CM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clinical manager or Bupa relieving facility manager covers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injuries,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Nine health and safety representatives were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data analysis completed on falls, the facility has implemented a number of quality improvements.  Falls prevention strategies include: the recent formation of a falls focus and skin tear prevention group, manual handling refresher education for all care staff, ensuring transfer plans are current, intentional rounding, use of senor mats, analysis of falls events including times and location of falls and links to any infection/period of illness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In response to resident survey feedback the facility has recently implemented a quality improvement project around the activity programme which has included residents attending the monthly Mix and Mingle programme at the local library, involvement with the local community Christmas parade and Quilters Association.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Twenty accident/incident forms were reviewed.  Each event involving a resident reflected a clinical assessment and follow up by a registered nurse.  Neurological observations are conducted for unwitnessed falls.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are aware of their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Ten staff files reviewed (two RNs, seven caregivers, one activities coordinator)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w:t>
            </w:r>
          </w:p>
          <w:p w:rsidR="00EB7645" w:rsidRPr="00BE00C7" w:rsidP="00BE00C7">
            <w:pPr>
              <w:pStyle w:val="OutcomeDescription"/>
              <w:spacing w:before="120" w:after="120"/>
              <w:rPr>
                <w:rFonts w:cs="Arial"/>
                <w:b w:val="0"/>
                <w:lang w:eastAsia="en-NZ"/>
              </w:rPr>
            </w:pPr>
            <w:r w:rsidRPr="00BE00C7">
              <w:rPr>
                <w:rFonts w:cs="Arial"/>
                <w:b w:val="0"/>
                <w:lang w:eastAsia="en-NZ"/>
              </w:rPr>
              <w:t>A total of nine caregivers are employed to work in the dementia unit with seven having completed their national dementia qualification.  Two caregivers are in the process of completing their qualification and have been employed for less than six months.</w:t>
            </w:r>
          </w:p>
          <w:p w:rsidR="00EB7645" w:rsidRPr="00BE00C7" w:rsidP="00BE00C7">
            <w:pPr>
              <w:pStyle w:val="OutcomeDescription"/>
              <w:spacing w:before="120" w:after="120"/>
              <w:rPr>
                <w:rFonts w:cs="Arial"/>
                <w:b w:val="0"/>
                <w:lang w:eastAsia="en-NZ"/>
              </w:rPr>
            </w:pPr>
            <w:r w:rsidRPr="00BE00C7">
              <w:rPr>
                <w:rFonts w:cs="Arial"/>
                <w:b w:val="0"/>
                <w:lang w:eastAsia="en-NZ"/>
              </w:rPr>
              <w:t>Thirty-three per cent of the total staff have attained at least one Bupa Personal Best certificate.</w:t>
            </w:r>
          </w:p>
          <w:p w:rsidR="00EB7645" w:rsidRPr="00BE00C7" w:rsidP="00BE00C7">
            <w:pPr>
              <w:pStyle w:val="OutcomeDescription"/>
              <w:spacing w:before="120" w:after="120"/>
              <w:rPr>
                <w:rFonts w:cs="Arial"/>
                <w:b w:val="0"/>
                <w:lang w:eastAsia="en-NZ"/>
              </w:rPr>
            </w:pPr>
            <w:r w:rsidRPr="00BE00C7">
              <w:rPr>
                <w:rFonts w:cs="Arial"/>
                <w:b w:val="0"/>
                <w:lang w:eastAsia="en-NZ"/>
              </w:rPr>
              <w:t>A total of 50% of caregivers have attained a Careerforce qualification with the remaining 50% of staff currently enrolled on Careerforce education programmes.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Eight registered nurses and four enrolled nurses are employed.   Six of eight registered nurses have completed their interRAI training.  There are a number of implemented competencies for registered nurses including (but not limited to) medication competencies and wound care.  </w:t>
            </w:r>
          </w:p>
          <w:p w:rsidR="00EB7645" w:rsidRPr="00BE00C7" w:rsidP="00BE00C7">
            <w:pPr>
              <w:pStyle w:val="OutcomeDescription"/>
              <w:spacing w:before="120" w:after="120"/>
              <w:rPr>
                <w:rFonts w:cs="Arial"/>
                <w:b w:val="0"/>
                <w:lang w:eastAsia="en-NZ"/>
              </w:rPr>
            </w:pPr>
            <w:r w:rsidRPr="00BE00C7">
              <w:rPr>
                <w:rFonts w:cs="Arial"/>
                <w:b w:val="0"/>
                <w:lang w:eastAsia="en-NZ"/>
              </w:rPr>
              <w:t>The new clinical manager has a background in education and is promoting the uptake of the Bupa PDRP programme to the registered nursing team.</w:t>
            </w:r>
          </w:p>
          <w:p w:rsidR="00EB7645" w:rsidRPr="00BE00C7" w:rsidP="00BE00C7">
            <w:pPr>
              <w:pStyle w:val="OutcomeDescription"/>
              <w:spacing w:before="120" w:after="120"/>
              <w:rPr>
                <w:rFonts w:cs="Arial"/>
                <w:b w:val="0"/>
                <w:lang w:eastAsia="en-NZ"/>
              </w:rPr>
            </w:pPr>
            <w:r w:rsidRPr="00BE00C7">
              <w:rPr>
                <w:rFonts w:cs="Arial"/>
                <w:b w:val="0"/>
                <w:lang w:eastAsia="en-NZ"/>
              </w:rPr>
              <w:t>Assistance with numeracy and literacy is available and is provided to those staff that request or need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Mon - Fri and a clinical manager (RN) Mon - Fri.  There are two unit coordinators (RNs) in the dementia and hospital units. An enrolled nurse is the unit coordinator in the rest home. Unit coordinators work Mon-Fri.  The clinical manager oversees the rest home and provides RN input. This equates to two days per week but she is available Monday to Friday. The hospital RN covers afternoons and night duty.  Registered nurse cover is provided 24 hours a day, 7 days a week. There is one registered nurse on night duty. RNs are supported by sufficient numbers of caregivers.  Separate laundry and cleaning staff are employed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 staff.  Individual resident files demonstrate service integration with only medication charts held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The admission agreement reviewed aligns with the service’s contracts.  Eight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RN’s check all medications on delivery against the medication profile and any pharmacy errors are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 and senior caregivers responsible for the administering of medications have completed annual medication competencies and annual medication education.  The standing orders have been approved by the GPs annually and meet the legislative requirements for standing orders.  There were two rest home residents self-medicating on the day of audit.  Self-medicating competency, three-monthly reviews and monitoring were in place.  The medication fridge temperatures have not been consistently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(six rest home-including one respite resident, six hospital and four dementia).  Photo identification and allergy status was on all 16 charts.  All medication charts had been reviewed by the GP at least three-monthly, including the resident admitted for respite.  Sixteen of sixteen resident medication administration-signing sheets corresponded with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Anti-psychotic management plans are used for residents in the dementia units when medications are commenced, discontinued or changed.  The GP reviews the anti-psychotic management plans at least monthly or earlier and if required, makes a referral to the Psychiatric Older People services. </w:t>
            </w:r>
          </w:p>
          <w:p w:rsidR="00EB7645" w:rsidRPr="00BE00C7" w:rsidP="00BE00C7">
            <w:pPr>
              <w:pStyle w:val="OutcomeDescription"/>
              <w:spacing w:before="120" w:after="120"/>
              <w:rPr>
                <w:rFonts w:cs="Arial"/>
                <w:b w:val="0"/>
                <w:lang w:eastAsia="en-NZ"/>
              </w:rPr>
            </w:pPr>
            <w:r w:rsidRPr="00BE00C7">
              <w:rPr>
                <w:rFonts w:cs="Arial"/>
                <w:b w:val="0"/>
                <w:lang w:eastAsia="en-NZ"/>
              </w:rPr>
              <w:t>It was identified that the service was managing the medication system very well with few errors using a complex paper based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policies and procedures are available.   The kitchen manager (chef) oversees the food services and is supported by a cook and kitchen hands. The national menus have been audited and approved by an external dietitian.  The main meal is served at lunchtime. All baking and meals are cooked on-site in the main kitchen.  Meals are delivered in bain-maries or hot boxes to the kitchenettes in each area where they are served.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bain-maries are monitored.  Temperatures are recorded on all chilled and frozen food deliveries.  Fridges and freezer temperatures are monitored and recorded daily.  Not all foods stored in communal resident food fridges were dated.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 on-site food safety education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specialised crockery such as lip plates, mugs and utensils to promote resident independence with meals.  There are nutritional snacks available in the dementia unit 24 hours.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feedback on the menu and food services through the resident meeting, which the chef attends.  Meeting minutes are available to the food services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embedded the interRAI assessment protocols within its current documentation.  Bupa assessment booklets on admission and care plan templates were comprehensively completed and reviewed six-monthly as part of the evaluation.  Additional assessments for management of behaviour and wound care were completed according to need.  InterRAI initial assessments and assessment summaries were evident in printed format in all long-term resident files.   The information obtained through the assessment processes is reflected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input from allied health.  The resident care plans sampled were individualised, however not all care plans included all identified care needs.   Care plans were amended to reflect changes in health status and were reviewed on a regular basis. The residents in the dementia unit had an activity care plan documented to cover the 24-hour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included interventions that reflected the resident’s current needs with the exceptions documented in (link 1.3.5.2).  When a resident’s condition changes, the RN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and short-term care plans were in place for twelve of twelve wounds care files sampled (hospital - four skin tears and two stage II facility-acquired pressure injuries, rest home -two surgical wounds and dementia one skin tear and one graze).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monitoring charts are used daily for any residents that exhibit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sighted included (but not limited to): vital signs, blood glucose, pain, food and fluid, turning charts and behaviour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three activity coordinators to deliver a separate programme across the three service levels Monday to Friday. A volunteer provides craft activities on a Sunday.  Bupa has set activities on the programme calendar with the flexibility to add site-specific activities, entertainers and outings. </w:t>
            </w:r>
          </w:p>
          <w:p w:rsidR="00EB7645" w:rsidRPr="00BE00C7" w:rsidP="00BE00C7">
            <w:pPr>
              <w:pStyle w:val="OutcomeDescription"/>
              <w:spacing w:before="120" w:after="120"/>
              <w:rPr>
                <w:rFonts w:cs="Arial"/>
                <w:b w:val="0"/>
                <w:lang w:eastAsia="en-NZ"/>
              </w:rPr>
            </w:pPr>
            <w:r w:rsidRPr="00BE00C7">
              <w:rPr>
                <w:rFonts w:cs="Arial"/>
                <w:b w:val="0"/>
                <w:lang w:eastAsia="en-NZ"/>
              </w:rPr>
              <w:t>Activities meet the abilities of the rest home, hospital and dementia residents.   One-on-one time is spent with residents who are unable to or choose not to join in the group activities.  Activities were observed to be delivered simultaneously in the rest home, hospital and dementia unit. Residents in the dementia unit are encouraged (where appropriate) to join in activities in the other areas of the care home (observed). There is an activity programme in place that covers the 24-hour period for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who works in the dementia unit is an enrolled nurse and has completed the dementia unit standards. The activity staff all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with visits to the local shops, Maraes and other community groups.  There are regular entertainers to the home and residents go on regular outings and drives.  The service has two vans and both have a wheelchair hoist.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is incorporated into the long-term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have the opportunity to provide feedback on the activity programme through resident meetings and satisfaction surveys.  A quality improvement project around activities has been implemented as a result of resident feedback (link to 1.2.3.)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One rest home resident admitted for frequent periods of respite had the care plan evaluated and updated with each subsequent admission. Written evaluations describe the resident’s progress against the residents identified goals.  InterRAI assessments have been utilised in conjunction with the six-monthly reviews.  Short-term care plans for short-term needs were evaluated and either resolved or added to the long-term care plan as an ongoing problem (link 1.3.5.2). The multidisciplinary review involves the RN, GP, physiotherapist,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unit coordinators and RNs identified that the service has access to a wide range of support either through the GP, Bupa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chemical substance safety and waste management policy.  Management of waste and hazardous substances is covered during orientation of new staff.  Chemicals are stored safely in a locked cupboard.  Safety data sheets and product wall charts are available.  All chemicals were labelled correctly.  Approved sharps containers are available and meet the hazardous substances regulations for containers.  Gloves, aprons and goggles are available for staff at the point of use.  Infection control policies state specific tasks and duties for which protective equipment is to be worn.  Staff were observed to be wearing appropriate personal protective clothing when carrying out their duties.  There is a chemical spills kit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 June 2017.  The building has two levels on a sloping site with lift access between the floors. Both levels have outdoor access.  There is a retirement village located on the first floor and all care is delivered on the second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wide corridors and rails promote safe mobility with the use of mobility aids and transferring equipment.  Residents were observed moving freely around the areas with mobility aids where required.  The external areas and gardens are well maintained.  There is outdoor furniture and seating and shaded areas.  The dementia unit has a safe indoor and outdoor environment with a deck, seating, shade and raised gardens.  This is a no smoking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Reactive and preventative maintenance occurs.  There is a 52-week planned maintenance programme in place.  Hot water temperatures are monitored weekly in resident areas and are within the acceptable range.  All medical equipment sighted was calibrated in November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r w:rsidRPr="00BE00C7">
              <w:rPr>
                <w:rFonts w:cs="Arial"/>
                <w:b w:val="0"/>
                <w:lang w:eastAsia="en-NZ"/>
              </w:rPr>
              <w:t>Feedback from the 2015 resident satisfaction survey resulted in a quality goal and plan established from the resident feedback which included: improving the environment with outdoor shade sails, furniture, revamp of gardens, makeover of rest home dining room where residents have chosen furnishings and wall prints, resealing the carpark and cleaning up the two gazebos.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access to hand basins.  The bedrooms without ensuites have shared toilet and shower facilities located near the bedrooms.   There are adequate numbers of communal toilets and shower rooms.  Toilets have privacy locks.  There is appropriate signage, easy clean flooring and fixtures and handrails appropriately placed.  Residents interviewed report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and are spacious enough to manoeuvre transferring and mobility equipment, to deliver the assessed level of care.  Residents are encouraged to personalise their bedrooms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open plan lounges and dining areas in each unit.  There is a family room within the facility.  The communal areas are easily accessible for residents. There are quiet seating areas available in each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able) were observed to be moving freely with the use of mobility aids.  Furniture was well arranged to facilitate this.  All dining rooms and lounges can accommodate specialised lounge chairs.  Seating and space is arranged to allow both individual and group activities to occur in each area.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unit were observed to mobilise freely between the lounge and secure garden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is laundered on-site.  There are laundry persons on duty for ten hours a day, seven days a week.  There are defined clean/dirty areas.  Cleaner’s trolleys are stored in locked areas when not in use.  There were adequate linen supplies sighted in the facility linen-store cupboards.  Internal audits monitor the effectiveness of laundry and cleaning processes.  The chemical provider audits the effectiveness of chemicals for laundry and cleaning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are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Emergencies, first aid and CPR are included in the mandatory in-service programme.  There is a first aid trained staff member on every shift.  The facility has an approved fire evacuation plan and fire drills occur six-monthly.  Smoke alarms, sprinkler system and exit signs are in place.  The service has alternative gas facilities for cooking in the event of a power failure, with a backup system for emergency lighting and battery backup.  There are civil defence kits in the facility and stored water.  Call bells are evident in residents’ rooms, lounge areas and toilets/bathrooms.  The facility is secured at night and security patrols are conducted by a security firm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heat pumps/air conditioning throughout and enclosed wood burner effect electric fires in the rest home and hospital lounges.  All communal areas and bedrooms are well ventilated and light.  Residents and family interviewed stated the temperature of the facility is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The clinical manager is the infection control coordinator and is responsible for infection control across the facility.  The committee and the Bupa governing body in conjunction with Bug Control, is responsible for the development of the infection control programme and its review.  The infection control programme is well established at Bupa Merrivale.  The infection control committee consists of a cross-section of staff and there is external input as required from general practitioners and the Bupa quality &amp; risk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Merrivale.   The infection control (IC) nurse has maintained best practice by attending an external infection control conference and participating in training at the DHB.   The infection control team is representative of the facility.  External resources and support are available through the Bupa quality &amp; risk team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Orientation package includes specific training around hand hygiene and standard precautions. Infection control training is regularly held, including (but not limited to): outbreak management (September 2016) and infection prevention &amp; control and handwashing in November 2016.  The infection control coordinator has access to the Bupa intranet with resources, best practice guidelines and group benchmarking. A number of toolbox talks have been provided including (but not limited to) preventing UTIs and handwashing.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the infection control practitioner at the DHB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Infections statistics are included for benchmarking.  Corrective actions are established where trends are identified.  The facility has managed two outbreaks since the last audit. The outbreak events were reviewed and corrective action were implemented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At the time of the audit, the service had no residents using enablers or restraints.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50"/>
        <w:gridCol w:w="1280"/>
        <w:gridCol w:w="6785"/>
        <w:gridCol w:w="1609"/>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medication management policy outlines the policies and practices to be followed in relation to medication management. Staff interviewed who administer medication could describe safe medication management and administration practices.  Medication is stored in locked trolleys in locked rooms in each clinical area.  There is a process in place for the reconciliation of medication including the checking of new medication packs and for the return of medication to pharmacy.     The medication fridge temperatures are required to be checked and recoded daily, however, medication fridge temperatures had not been consistently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fridge temperatures were not consistently documented in three of three medication fridges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medication fridge temperatures are consistently recorded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Frozen food temperatures are checked on arrival from the supplier and before hot food leaves the kitchen at each meal service.  In the main kitchen, the chiller and freezer temperatures are checked daily. Dry goods and fresh vegetables are correctly stored. Food stored in the main kitchen chiller was correctly dated and labelled. Resident food stored in the kitchenettes in each area, were not labelled or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fridges in the kitchenettes in the rest home, hospital and dementia areas did not have date labels on the resident food.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food stored for residents is correctly labelled and dated.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developed by the registered nurse and were based on information gathered through the assessment process. One hospital resident on monthly weights evidenced a consistent weight loss over a 12-month period and had no interventions implemented or a care plan documented for the weight loss. A weight management care plan was documented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documented for the management of behaviours triggers, interventions and de-escalation techniques including activities over a 24-hour period. However, one dementia resident did not have a care plan documented for the interventions implemented to manage a sudden change in behaviour.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resident did not have a care plan documented for the management of consistent weight loss (7kg in total since January 2016); 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dementia resident (tracer) did not have a care plan documented for a sudden change in behaviour.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care plan interventions are documented to address all assessed care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762"/>
        <w:gridCol w:w="7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Bupa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r w:rsidRPr="00BE00C7">
              <w:rPr>
                <w:rFonts w:cs="Arial"/>
                <w:b w:val="0"/>
                <w:lang w:eastAsia="en-NZ"/>
              </w:rPr>
              <w:t>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bi-monthly clinical newsletter called Clinical Bites, which provides a forum to explore clinical issues, ask questions, share experiences and updates with all qualified nurses in the company.  Registered nurse interviewed at Merrivale could describe this.  Competencies are completed for key nursing skills. Registered nurses regularly access training, including sessions that are externally run. Bupa run a registered/enrolled nurse training day and clinically focused training sessions. </w:t>
            </w:r>
          </w:p>
          <w:p w:rsidR="00EB7645" w:rsidRPr="00BE00C7" w:rsidP="00BE00C7">
            <w:pPr>
              <w:pStyle w:val="OutcomeDescription"/>
              <w:spacing w:before="120" w:after="120"/>
              <w:rPr>
                <w:rFonts w:cs="Arial"/>
                <w:b w:val="0"/>
                <w:lang w:eastAsia="en-NZ"/>
              </w:rPr>
            </w:pPr>
            <w:r w:rsidRPr="00BE00C7">
              <w:rPr>
                <w:rFonts w:cs="Arial"/>
                <w:b w:val="0"/>
                <w:lang w:eastAsia="en-NZ"/>
              </w:rPr>
              <w:t>Bupa newsletters are available for residents and relatives at Merrivale.  Merrivale also provides monthly newsletters for residents and relative.  The service identified an improved communication to families, including mail out of invitations to resident /whānau meetings and mail outs of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and these are implemented at Merrivale, supported by a number of meetings held on a regular basis. Quality improvement alerts are also forwarded from head office to minimise potential risks occurring and the facility is required to complete an action plan. These were covered at Merrivale through toolbox talks (sighted).  Education is supported for all staff and a number of caregivers have enrolled or completed a national qualification.  All new caregiving employees undertake National Certificate of Foundation skills as part of their three-month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35% turnover in staff YTD at Merrivale and the temporary loss of a Careerforce assessor has resulted in 35% of staff qualified at level 3 with the remainder of the new staff enrolled.  They have now appointed two Careerforce assessors and enrolments and training has recommenced in October 16. </w:t>
            </w:r>
          </w:p>
          <w:p w:rsidR="00EB7645" w:rsidRPr="00BE00C7" w:rsidP="00BE00C7">
            <w:pPr>
              <w:pStyle w:val="OutcomeDescription"/>
              <w:spacing w:before="120" w:after="120"/>
              <w:rPr>
                <w:rFonts w:cs="Arial"/>
                <w:b w:val="0"/>
                <w:lang w:eastAsia="en-NZ"/>
              </w:rPr>
            </w:pPr>
            <w:r w:rsidRPr="00BE00C7">
              <w:rPr>
                <w:rFonts w:cs="Arial"/>
                <w:b w:val="0"/>
                <w:lang w:eastAsia="en-NZ"/>
              </w:rPr>
              <w:t>Merrivale is proactive around following through and identifying quality improvements from internal audits, incidents/accidents and complaints. QI corrective action plans (CAP) are established when above the benchmark.  The service has set up a falls and skin tear focus group to refocus their staff on reducing falls and with a focus on correct manual handling, with a secondary focus on skin tears.  They have identified over reporting with skin tears and staff have been retrained to identify.  Toolbox talks have been routinely completed that link to benchmarking indicators in each of the three areas at Merrivale.  A post falls pack with all assessments have been compiled to ensure time and accurate assessment post fall.   Quality action forms are also established for areas that staff/management identifies as requiring improvement and these are evaluated for effectiveness.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over a 12-month period.  Quality action forms are utilised at Merrivale and document actions that have improved outcomes or efficiencies in the facility. The service continues to collect data to support the implementation of corrective action plans. Responsibilities for corrective actions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number of ongoing quality improvements identified through meeting minutes and as a result of analysis of quality data collected.   Merrivale is proactive in developing and implementing quality initiatives.  All meetings include feedback on quality data and quality goals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Merrivale is active in analysing data collected monthly, around accidents and incidents, infection control, restraint etc.</w:t>
            </w:r>
          </w:p>
          <w:p w:rsidR="00EB7645" w:rsidRPr="00BE00C7" w:rsidP="00BE00C7">
            <w:pPr>
              <w:pStyle w:val="OutcomeDescription"/>
              <w:spacing w:before="120" w:after="120"/>
              <w:rPr>
                <w:rFonts w:cs="Arial"/>
                <w:b w:val="0"/>
                <w:lang w:eastAsia="en-NZ"/>
              </w:rPr>
            </w:pPr>
            <w:r w:rsidRPr="00BE00C7">
              <w:rPr>
                <w:rFonts w:cs="Arial"/>
                <w:b w:val="0"/>
                <w:lang w:eastAsia="en-NZ"/>
              </w:rPr>
              <w:t>Example: Falls were noted to be high in 2015 and Merrivale was above the national average and KPI.  2016 quality goals were developed around “Reducing incidents of resident slips/trips and falls in the hospital by 20% from 2015’s of 10. 3 per 1000 bed days to 8 per thousand bed days.   The service commenced a Falls Focus group in light of their high falls.  Falls prevention strategies were implemented including (but not limited to): toolbox talks have been completed with staff about answering call bells, toileting schedules maintained at times analysed as being high risk times and ensuring sensor mats are in place and working.  Monitoring and review of transfer plans was completed.  Over half of the transfer plans have been updated and the unit coordinators are leading completion. On evaluation of the effectiveness of these measures, they noted a drop in falls incidents in the hospital July and August. Other corrective actions and strategies have been implemented where clinical indicators were above the benchmark.</w:t>
            </w:r>
          </w:p>
          <w:p w:rsidR="00EB7645" w:rsidRPr="00BE00C7" w:rsidP="00BE00C7">
            <w:pPr>
              <w:pStyle w:val="OutcomeDescription"/>
              <w:spacing w:before="120" w:after="120"/>
              <w:rPr>
                <w:rFonts w:cs="Arial"/>
                <w:b w:val="0"/>
                <w:lang w:eastAsia="en-NZ"/>
              </w:rPr>
            </w:pPr>
            <w:r w:rsidRPr="00BE00C7">
              <w:rPr>
                <w:rFonts w:cs="Arial"/>
                <w:b w:val="0"/>
                <w:lang w:eastAsia="en-NZ"/>
              </w:rPr>
              <w:t>From 1st July to end of September 18, falls were recorded with a range of 3-9 per month compared to 28 falls in the previous quarter with a range of 7-11.  At the end of quarter 2, they had falls rate of 12.6 patient bed days and this quarter’s results show a reduction in rate to 10.3.  So, while falls have decreased from both quarter 1 and 2, the quality goal continues to be a work in progress.</w:t>
            </w:r>
          </w:p>
          <w:p w:rsidR="00EB7645" w:rsidRPr="00BE00C7" w:rsidP="00BE00C7">
            <w:pPr>
              <w:pStyle w:val="OutcomeDescription"/>
              <w:spacing w:before="120" w:after="120"/>
              <w:rPr>
                <w:rFonts w:cs="Arial"/>
                <w:b w:val="0"/>
                <w:lang w:eastAsia="en-NZ"/>
              </w:rPr>
            </w:pPr>
            <w:r w:rsidRPr="00BE00C7">
              <w:rPr>
                <w:rFonts w:cs="Arial"/>
                <w:b w:val="0"/>
                <w:lang w:eastAsia="en-NZ"/>
              </w:rPr>
              <w:t>Other quality initiatives have been established around (i) decreasing skin tears for residents in hospital by 25% from 2015 of 5.5 ptbd to 4.1ptbd. Strategies have been implemented and evaluations to date show.  From the 1st July to the end of September (3rd quarter) there were 17 skin tears recorded with a range of 3-7 compared to the 2nd quarter when there were 24 with a range of 6-9 so there has been a reduction seen.</w:t>
            </w:r>
          </w:p>
          <w:p w:rsidR="00EB7645" w:rsidRPr="00BE00C7" w:rsidP="00BE00C7">
            <w:pPr>
              <w:pStyle w:val="OutcomeDescription"/>
              <w:spacing w:before="120" w:after="120"/>
              <w:rPr>
                <w:rFonts w:cs="Arial"/>
                <w:b w:val="0"/>
                <w:lang w:eastAsia="en-NZ"/>
              </w:rPr>
            </w:pPr>
            <w:r w:rsidRPr="00BE00C7">
              <w:rPr>
                <w:rFonts w:cs="Arial"/>
                <w:b w:val="0"/>
                <w:lang w:eastAsia="en-NZ"/>
              </w:rPr>
              <w:t>(ii) decreasing the number of pressure injuries in hospital level residents by 50% from 2015’s of .6 ptbd to .3.  Strategies have been implemented and evaluations to date show from 1st July to end of September there were two pressure injuries, none in July or August, two in September (stage I and stage II).</w:t>
            </w:r>
          </w:p>
          <w:p w:rsidR="00EB7645" w:rsidRPr="00BE00C7" w:rsidP="00BE00C7">
            <w:pPr>
              <w:pStyle w:val="OutcomeDescription"/>
              <w:spacing w:before="120" w:after="120"/>
              <w:rPr>
                <w:rFonts w:cs="Arial"/>
                <w:b w:val="0"/>
                <w:lang w:eastAsia="en-NZ"/>
              </w:rPr>
            </w:pPr>
            <w:r w:rsidRPr="00BE00C7">
              <w:rPr>
                <w:rFonts w:cs="Arial"/>
                <w:b w:val="0"/>
                <w:lang w:eastAsia="en-NZ"/>
              </w:rPr>
              <w:t>As at the end of Quarter 2 they had an API rate of .7 compared to national average of 1.0. They have maintained the rate of PI from 2015, but the quality goal is still being worked towards achieving.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Merrivale Rest Home</w:t>
    </w:r>
    <w:bookmarkEnd w:id="58"/>
    <w:r>
      <w:rPr>
        <w:rFonts w:cs="Arial"/>
        <w:sz w:val="16"/>
        <w:szCs w:val="20"/>
      </w:rPr>
      <w:tab/>
      <w:t xml:space="preserve">Date of Audit: </w:t>
    </w:r>
    <w:bookmarkStart w:id="59" w:name="AuditStartDate1"/>
    <w:r>
      <w:rPr>
        <w:rFonts w:cs="Arial"/>
        <w:sz w:val="16"/>
        <w:szCs w:val="20"/>
      </w:rPr>
      <w:t>13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