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Falls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Falls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December 2016</w:t>
      </w:r>
      <w:bookmarkEnd w:id="7"/>
      <w:r w:rsidRPr="009418D4">
        <w:rPr>
          <w:rFonts w:cs="Arial"/>
        </w:rPr>
        <w:tab/>
        <w:t xml:space="preserve">End date: </w:t>
      </w:r>
      <w:bookmarkStart w:id="8" w:name="AuditEndDate"/>
      <w:r w:rsidR="00A4268A">
        <w:rPr>
          <w:rFonts w:cs="Arial"/>
        </w:rPr>
        <w:t>6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Falls provides rest home and hospital (geriatric and medical) level care for up to 41 residents in the care centre and up to 44 rest home level of care residents in serviced apartments. On the day of the audit there were 45 residents.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village manager is appropriately qualified and experienced and is supported by an acting nurse manager (registered nurse) who oversees the clinical services. There are quality systems and processes being implemented.  An induction and in-service training programme is in place to provide staff with appropriate knowledge and skills to deliver care.  </w:t>
      </w:r>
    </w:p>
    <w:p w:rsidRPr="00A4268A">
      <w:pPr>
        <w:spacing w:before="240" w:line="276" w:lineRule="auto"/>
        <w:rPr>
          <w:rFonts w:eastAsia="Calibri"/>
        </w:rPr>
      </w:pPr>
      <w:r w:rsidRPr="00A4268A">
        <w:rPr>
          <w:rFonts w:eastAsia="Calibri"/>
        </w:rPr>
        <w:t xml:space="preserve">This certification audit identified improvements around InterRAI assessments and interventions. </w:t>
      </w:r>
    </w:p>
    <w:p w:rsidRPr="00A4268A">
      <w:pPr>
        <w:spacing w:before="240" w:line="276" w:lineRule="auto"/>
        <w:rPr>
          <w:rFonts w:eastAsia="Calibri"/>
        </w:rPr>
      </w:pPr>
      <w:r w:rsidRPr="00A4268A">
        <w:rPr>
          <w:rFonts w:eastAsia="Calibri"/>
        </w:rPr>
        <w:t xml:space="preserve">The service has been awarded a continuous improvement for the reduction of respiratory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Summerset Falls provides care in a way that focuses on the individual resident.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Falls has an established quality and risk management system that supports the provision of clinical care.  Key components of the quality management system link to a number of meetings including monthly quality improvement meetings.  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 well-developed information pack available for residents and families/whānau at entry.  Initial assessments, resident centred care plans and evaluations were completed by the registered nurses within the required timeframes.  Risk assessment tools and monitoring forms were available and implemented.  Resident centred care plans were individualised and reflected the resident’s needs and supports.  </w:t>
      </w:r>
    </w:p>
    <w:p w:rsidRPr="00A4268A" w:rsidP="00621629">
      <w:pPr>
        <w:spacing w:before="240" w:line="276" w:lineRule="auto"/>
        <w:rPr>
          <w:rFonts w:eastAsia="Calibri"/>
        </w:rPr>
      </w:pPr>
      <w:r w:rsidRPr="00A4268A">
        <w:rPr>
          <w:rFonts w:eastAsia="Calibri"/>
        </w:rPr>
        <w:t xml:space="preserve">A recreational therapist coordinates and implements an integrated activity programme.  The activities meet the individual recreational needs and preferences of the residents.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All meals are prepared on-site.  Resident's individual dietary needs are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The building has a current warrant of fitness.  Resident bedrooms are spacious and personalised.  There are bedrooms with ensuites and the rooms without ensuites are closely located to communal toilet/showers.  There was sufficient space to allow the movement of residents around the facility using mobility aids or lazy boy chairs.  The hallways and communal areas were spacious and accessible.  The outdoor areas were safe and easily accessible and provide seating and shade.  The service has implemented policies and procedures for civil defence and other emergencies and six monthly fire drills are conducted.  Housekeeping staff maintain a clean and tidy environment.  All laundry and linen is completed on-site.  There is plenty of natural light in all rooms and the environment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On the day of audit there were no residents using enablers and one resident with a restraint in place.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officer (registered nurse) is responsible for coordinating and providing education and training for staff.  The infection control officer has attended external training.  The infection control manual outlined the scope of the programme and included a comprehensive range of policies and guidelines.  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5"/>
        <w:gridCol w:w="1280"/>
        <w:gridCol w:w="96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seven caregivers, one registered nurse (RN), and one recreational therapist confirmed their familiarity with the Health and Disability Commissioner (HDC) Code of Health and Disability Services Consumers’ Rights (the Code).  Eleven residents (six rest home and five hospital) and five relatives (three rest home and two hospital)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Seven resident files (four hospital and three rest home level of care including one respite care and one resident in the serviced apartments) evidenced written general and specific consents.  Caregivers and registered nurses interviewed confirm consent is obtained when delivering cares.  Resuscitation orders had been appropriately signed by the resident and general practitioner.  The service acknowledges the resident is for resuscitation in the absence of a signed directive by the resident.  The general practitioner (GP) had discussed resuscitation with families/enduring power of attorney (EPOA) where the resident was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(two hospital and three rest home) identified that the service actively involves them in decisions that affect their relative’s lives.  Six admission agreements for long-term residents were sighted and signed.  The respite care resident had signed an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cafes and restaurants.  Interview with staff, residents and relatives informed residents are supported and encouraged to remain involved in the community and external groups.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There is a complaint register that included relevant information regarding the complaint.  The number of complaints received each month is reported monthly to staff via the various meetings.  There have been six complaints received since the last audit in March 2016.  All of the complaints documentation included follow-up letters, investigations and resolutions that had been completed within the required timeframes.  Corrective actions have been implemented and any changes required were made as a result of the complaint.  A complaints procedure is provided to residents within the information pack at entry.  Feedback forms are available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were well informed about the Code of Rights.  Monthly resident meetings provide the opportunity to raise concerns.  An annual residents/relatives survey is completed.  Advocacy and Code of Rights information is included in the information pack and is available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Residents and relatives interviewed reported that residents are able to choose to engage in activities and access community resources.  There is an elder abuse and neglect policy. Staff education and training on abuse and neglect last occurred in July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that includes a description of how they achieve the requirements set out in the contract.  There are supporting policies that provide recognition of Māori values and beliefs and identify culturally safe practices for Māori.  At the time of the audit there were no residents that identified as Māori.  Links are established with local Iwi, Ngati Manuhuri at Omaha Marae.  Cultural needs are addressed in the care plan.  Staff interviewed were able to describe how they can ensure they meet the cultural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family/whānau confirms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quality improvement meetings occur monthly and include discussions on professional boundaries and concerns as they arise.  Management provide guidelines and mentoring for specific situations.  Interviews with the village manager and nurse manager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about the care and support provided.  Staff have a sound understanding of principles of aged care and state that they feel supported by the village manager and nurse manager.  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is undertaken.  There is evidence of education being supported outside of the training plan.  Services are provided at Summerset that adheres to the health &amp; disability services standards.  There are implemented competencies for caregivers and registered nurses including (but not limited to): insulin administration, medication, wound care and manual handling.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resident’s health status and incidents/accidents.  Resident meetings are held monthly and relative meeting every three months.  An advocate from Age Concern attends the meetings.  The village manager and the nurse manager have an open-door policy.  The service produces a newsletter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41 residents at hospital and rest home level care.  There are also 44 certified rest home beds in the serviced apartments.  On the day of the audit, there were 45 residents in total, 17 residents at rest home level including one respite care resident, 23 residents at hospital level and five residents at rest home level of care in serviced apartments.  All beds in the care centre are dual-purpose beds.  There were no residents under the medical component of the certification.  All long-term residents were under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Falls has a site-specific business plan and goals that is developed in consultation with the village manager, nurse manager and regional operations manager.  The Summerset Falls quality plan is reviewed regularly throughout the year.  There is a full evaluation at the end of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current role since April 2016 and has been at Summerset Falls for three years. The village manager is supported by the Summerset regional clinical manager and a nurse manager.  The nurse manager has been in the position for four months and has a background in aged care nursing.  At the time of the audit the nurse manager was away on leave until the end of January 2017.  The clinical nurse leader had been seconded into the acting nurse manager role.  A RN had also been seconded to an acting clinical nurse leader role.  There is a regional operations manager who is available to support the facility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Village managers and nurse managers attend two day organisational forums annually.  The village manager has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nurse manager will cover the manager’s role.  The regional operations manager and the Summerset clinical quality manager provide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Falls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requirements for the month and the nurse manager completes a ‘best practice’ sheet confirming completion of requirements.  The best practice sheet reports (but not limited to): meetings held, induction/orientation, audits, competencies and projects.  This is forwarded to head office as part of the ongoing monitoring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 meeting schedule including monthly quality improvement (full facility) meetings that includes discussion about clinical indicators (eg, incident trends, infection rates).  Registered nurse meetings are held monthly.  Health and safety, infection control and restraint meetings occur four monthly.  There are other facility meetings held, such as kitchen and activities.   An annual residents/relatives survey completed (October 2015) reports overall 95% feedback of experience being good or very good.  The results for the residents/relative’s survey completed in October 2016 had not been released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Monthly and annual analysis of results is completed and provided across the organisation.  Health and safety internal audits are completed.  There are monthly accident/incident benchmarking reports completed by the nurse manager that break down the data collected across the rest home and hospital and staff incidents/accidents.  Infection control is also included as part of benchmarking across the organisation.  Summerset’s clinical and quality manager analyses data collected via the monthly reports and corrective actions are required based on benchmarking outcomes.  There is a health and safety and risk management programme in place including policies to guide practice.  One of the caregivers is the health and safety representative (interviewed).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Twelve resident related incident reports for November 2016 were reviewed (eight falls, two skin tears, one bruise and one challenging behaviour).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Data is linked to the organisation's benchmarking programme and used for comparative purposes.  A section 31 incident notification form was completed (sighted) for a stage-three pressure injury that was non-facility acquired in August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Seven staff files (one nurse manager, one RN, one clinical nurse leader, one recreational therapist, one housekeeper and two caregivers) were reviewed and all had relevant documentation relating to employment.  Performance appraisals had been completed annually.  The service has an orientation programme in place that provides new staff with relevant information for safe work practice.  The orientation programme includes documented competencies and induction checklists (sighted in files of newly appointed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orientation process and believed new staff were adequately orientated to the service.  There is an annual education plan that is outlined on the ‘clinical audit, training and compliance calendar’.  Core competencies are completed and a record of completion is maintained on staff files and well as being scanned into ‘Sway’.  Staff interviewed were aware of the requirement to complete competency training.  Caregivers complete an aged care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nurse manager work 40 hours per week (Monday to Friday) and are available on call for any emergency issues or clinical support.  The service provides 24-hour RN availability.  There are seven caregivers on morning shifts, four on the afternoon shifts and two on night shifts.  In the serviced apartments, there are two caregivers on morning shifts, one on the afternoon shift and one on night shift.  A staff availability list ensures that staff sickness and vacant shifts are covered.  Caregivers interviewed confirmed that staff are replaced.  Staffing levels and skills mix policy is the documented rationale for determining staffing levels and skill mixes for safe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by being held in a locked cupboard.  Care plans and notes were legible and where necessary signed (and dated) by a registered nurse.  Entries are legible, dated and signed by the relevant care assistant or registered nurse including designation.  Individual resident files demonstrate service integration.  There is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nurse manager screens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(six rest home including two serviced apartments and five hospital) and relatives interviewed stated that they received sufficient information on admission and discussion was held regarding the admission agreement.  The admission agreement reviewed aligns with a) - k)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follow-up.  All relevant information is documented and communicated to the receiving health provider or service.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Registered nurses are responsible for the administration of medications in the care centre.  Medication competent caregivers administer medications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and education has been completed annually.  All medications were evidenced to be checked on delivery with any discrepancies fed back to the supplying pharmacy.  The service implemented an electronic medication system September 2015.  Standing orders are not used.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resident medication charts on the electronic medication system and one paper-based medication chart (respite care resident) were reviewed.  All medication charts had photograph identification and allergy status recorded.  Staff records the time, date and effectiveness of ‘as required’ medications.  The nurse manager monitors for missed medications weekly.  All 13 medication charts reviewed on the electronic medication system identified that the GP had reviewed the medication chart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There is an eight-week rotating seasonal menu approved by the dietitian.  The menu includes resident preferences.  The chef manager (interviewed) receives a dietary profile for each resident and is notified of any changes to resident’s dietary requirements.  Resident likes/dislikes and preferences are known and accommodated with alternative meal options.  Food is delivered in hot boxes to the care centre satellite kitchenette where meals are served from the bain-marie.  Special requests and alternative meals are plated and labelled.  Texture modified meals, fortified foods, protein drinks, vegetarian and gluten free meals 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fridge and freezer have daily temperatures recorded.  End cooked food temperatures are taken and recorded daily.  All foods are stored correctly and date labelled.  Cleaning schedules are maintained.  Staff were observed wearing correct personal protective clothing when carrying out their duties.  The chemical provider completes a functional test on the dishwasher monthly.  Chemicals are stored safely within the kitchen</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have food handling certificates and chemical safety training.  On-line training is also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manager receives feedback from resident meetings, surveys and from direct communication from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potential residents should this occur is communicated to the potential resident or family/ 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support plan is developed with information from the initial assessment.  Clinical risk assessments are completed on admission where applicable and reviewed six monthly as part of the InterRAI assessment (link 1.3.3.3).  Outcomes of risk assessment tools are used to identify the needs, supports and interventions required to meet resident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centred care plans describe the individual support and interventions required to meet the resident goals.  The long-term care plans reflect the outcomes of risk assessment tools.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with the exception of weight loss (link 1.3.6.1).  Short-term care plans sighted in the resident files had been evaluated regularly and either resolved or transferred to the long-term care plan if an ongoing problem.  There is documented evidence of resident/family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initiates a review and if required a GP or nurse specialist consultation.  Relatives interviewed stated their relative’s needs are met and they are kept informed of any health changes.  There was documented evidence in the resident files of family notification of any changes to health including infections, accidents/incidents, and medication changes.  Residents interviewed stated their needs were being met. There were no documented interventions for three residents with weight loss.</w:t>
              <w:br/>
              <w:t xml:space="preserve">Adequate dressing supplies were sighted.  Initial wound assessments with ongoing wound evaluations and treatment plans were in place for all wounds including chronic wounds and one stage-3 (hospital acquired) pressure injury.  Wounds are re-assessed at least monthly.  Photographs are taken of the chronic wounds and pressure injury. Evaluation comments were documented at each dressing change to monitor the healing progress.  The clinical nurse leader and nurse manager confirmed there was a wound nurse specialist available as required.  The GP reviews chronic wounds at the medical review and earlier on RN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fulltime recreational therapist (RT) who is a qualified caregiver.  She has been in the role since October 2016 and is enrolled to commence diversional therapy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rest home and hospital programme covers seven days a week.  A designated caregiver coordinates the activity programme on the RT days off (Wednesday and Thursday).  The programme has been reviewed in consultation with residents to include new activities of interest.  Activities meet the recreational needs of both rest home and hospital residents and ensures all residents have the opportunity for outings, shopping, and attending community groups/events.  Community visitors include monthly entertainers, pet therapy and weekly church services.  The programme includes allocated time for daily room visits and one-on-one time.  Festive events and themes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community links.  The service has a wheelchair van for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meetings provide an opportunity for residents to feedback on the programme.  The DT is involved in the multidisciplinary review, which includes the review of the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All initial care plans were evaluated by the registered nurses within three weeks of admission.  Written evaluations were completed six monthly or earlier for resident health changes in all long-term resident files reviewed.  There is evidence of multidisciplinary (MDT) team involvement in the reviews including input from the GP and any allied health professionals involved in the resident’s care.  Families are invited to attend the MDT review and asked for input if they are unable to attend.  Short-term care plans sighted have been evaluated by the RN.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service provided examples of where a resident’s condition had changed and the resident was reassessed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are readily accessible for staff.  Chemicals were stored safely throughout the facility.  A chemical spills kit is available.  Personal protective clothing is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storey building has a current building warrant of fitness that expires on 1 February 2017.   A full-time property manager and property assistant maintain a planned maintenance programme and attend to daily maintenance and repairs.  All maintenance requests are generated through the ‘Sway’ (Summerset way) on-line system.  All electrical equipment has been tested and tagged.  Clinical equipment has had functional checks/calibration annually.  Hot water temperatures have been tested and recorded monthly with readings below 45 degrees Celsius.  Preferred contractors for essential services are available 24/7.  Environmental improvements include the extension of the recreational area on the ground floor and creating a separate cinema lounge for all residents to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is located on the first floor.  Serviced apartments are on the ground and first floor.  Corridors are wide in all areas to allow residents to pass each other safely.  There is safe access to all communal areas and outdoor areas.  There is an outdoor balcony on the first floor with seating and shade.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registered nurses (interviewed) stated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toilet and shower facilities are of an appropriate design to meet the needs of the residents.  The fixtures, fittings, floors and wall surfaces are constructed from materials that can be easily cleaned.  Thirty-seven bedrooms in the care centre and all serviced apartments have a full ensuite.  Four bedrooms without ensuites are closely located to communal toilet/shower facilities.  There are adequate numbers of communal toilets located near the communal areas.  Communal toilet/shower facilities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hoists in the resident bedrooms.  The doors are wide enough for ambulance trolley access.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large main lounge that can accommodate rest home and hospital level residents and where most activities take place.  There is a family room with tea making facilities.  There is a spacious open plan dining room.  There are seating alcoves within the facility.  The communal areas are easily accessible for residents within the care centre and rest home level of care residents in serviced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in the main laundry on the ground floor.  The serviced apartment caregiver on duty undertakes laundry duties. There are designated cleaning staff on duty each day.  The laundry is well equipped and all machinery has been serviced regularly.  There is a sluice area in the laundry with personal protective equipment available.  The care centre has a sluice room with a laundry chute to deliver dirty linen to the downstairs laundry. The laundry has defined clean/dirty areas and an entry and exit door with adequate ventilation.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sighted were well equipped and are kept in designated locked cupboards when not in use.  External (chemical provider) and internal audits monitor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training, information and equipment for responding to emergencies are provided.   Emergencies, first aid and CPR are included in the mandatory in-service programme.  Summerset Falls has an approved fire evacuation plan and fire drills occur six monthly.  Smoke alarms, sprinkler system and exit signs are in place. Civil defence and emergency training was provided in February 2016.  There are staff at the facility 24/7 with a current first aid certificate.  The facility is well prepared for civil emergencies and has emergency lighting, a store of emergency water and a gas BBQ for alternative heating and cooking.  Emergency food supplies sufficient for three days are kept in the kitchen.  There is a store cupboard of supplies necessary to manage a pandemic.  The call bell system is available in all areas with indicator panels in each area.  There are emergency management plans in place to ensure health, civil defence and other emergencies.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have adequate natural light in the bedrooms and communal rooms.  Heat pumps are also used as air conditioning units.  Ceiling panels in resident rooms are controlled by individual thermostats.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officer (registered nurse) has a signed job description and has been in the role two years.  The infection control programme is linked into the quality management system and reviewed annually at head office in consultation with infection control officers.  The facility meetings include a discussion of infection control matters.  Infection control goals are reviewed and discussed at each infection control committee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sanitisers are available throughout the facility.  A public noticeboard within the care centre keeps residents and visitors updated on infection control matters.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attends an annual Summerset training day for infection control officers.  The infection control officer also attended external training annually provided by an external infection control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meets quarterly and is representative of staff from the clinical and housekeeping area.  Meeting minutes document discussion around infection control data, trends and analysis of infections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and committee have access to an infection control nurse specialist at the DHB, external infection control consultant, public health, laboratory, GPs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These are across the Summerset organisation.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 and providing education and training to staff.  The induction package includes specific training around hand washing competencies and standard precautions.  Ongoing training occurs annually as part of the training calendar set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infection control officer provides infection control data, trends and relevant information to the infection control committee and clinical/quality meetings.  Areas for improvement are identified, corrective actions developed and followed-up.  The facility is benchmarked against other Summerset facilities of similar size and benchmarking results are fed back to the infection control officer and used to identify areas for improvement.  Infection control audits are completed and corrective actions are signed off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of confirmed norovirus in December 2015.  Relevant authorities were notified.  The service identified a shortfall around available supplies for the management of an outbreak.  The level of supplies has been increased as sighted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currently has one hospital resident assessed as requiring the use of restraint (lap belt) and there were no residents requiring enablers.  The resident care plan reviewed was up-to-date and provided the basis of factual information in assessing the risks of safety and the need for restraint.  Ongoing consultation with the resident and family/whānau is also identified.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and a job description for the restraint coordinator are in place.  The restraint coordinator role is delegated to the clinical nurse leader (who was currently acting as the nurse manager).  All staff are required to attend restraint minimisation training annually, which last occurred in March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registered nursing staff can assess the need for restraint.  Restraint assessments are based on information in the resident’s care plan, discussions with the resident and family and observations by staff.  A restraint assessment tool meets the requirements of the standard.  The reviewed file included a restraint assessment and consent form that was signed by the resident’s family.  Restraint use is linked to the resident’s care plan and is regularly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the residents that are using a restraint, and the type(s) of restraint used.  The restraint assessment identified that restraint is being used only as a last resort.  The restraint assessment and ongoing evaluation of restraint use process includes reviewing the frequency of monitoring residents while on restraint.  Monitoring forms are completed when the restraint is put on and when it is taken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three monthly by the restraint committee during restraint meetings.  The review process includes discussing whether continued use of restraint is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by the national clinical and quality manager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21"/>
        <w:gridCol w:w="1280"/>
        <w:gridCol w:w="6304"/>
        <w:gridCol w:w="1695"/>
        <w:gridCol w:w="2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 had been completed within required timeframes in seven of seven files reviewed.   The five RNs, clinical nurse leader and nurse manager are InterRAI competent. The InterRAI assessment tool has been embedded as part of the six-monthly evaluation process for long-term residents who have been at the service six months or earlier due to significant health changes.  InterRAI assessments had not been completed for all admission since 1 July 2015.  Three long-term residents (one hospital and two rest home) did not have InterRAI assessments completed within 21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long-term residents (one hospital and two rest home) did not have InterRAI assessments completed within 21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InterRAI assessments are completed within 21 days of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restraint, blood sugar levels, weight, wound evaluations, food and fluid intake, repositioning chart, behaviour log and neurological observations.  Short-term care plans were sighted for short-term changes, however there were no short-term care plans or intervention documented for three residents with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or implemented interventions for three residents (two hospital and one rest home) with unintentional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documented/implemented for residents with unintentional weight loss.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8"/>
        <w:gridCol w:w="1280"/>
        <w:gridCol w:w="1839"/>
        <w:gridCol w:w="85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results are used to identify infection control activities and education needs within the facility.  In January 2016, the service commenced a project to reduce the number of respiratory tract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and committee developed an action plan to reduce respiratory infections in 2016.  The action plan included increased education and awareness around the prevention and spread of infection for staff, residents and visitors. This was achieved by a) increased infection control education for staff including increase in hand hygiene audits, b) resident education on infections/influenza vaccines at the resident meetings, c) the development of a public infection control noticeboard in the care centre with available information/graphs and data around infection control, d) display of colourful infection control posters which are changed regularly to ensure staff and resident/visitor awareness is maintained, e) staff encouraged to have influenza vaccines and f) infection control updates, data and education reminders placed on time target.  The service has been successful in reducing the number of respiratory infections from 22 in 2015 to nine to date for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Falls</w:t>
    </w:r>
    <w:bookmarkEnd w:id="58"/>
    <w:r>
      <w:rPr>
        <w:rFonts w:cs="Arial"/>
        <w:sz w:val="16"/>
        <w:szCs w:val="20"/>
      </w:rPr>
      <w:tab/>
      <w:t xml:space="preserve">Date of Audit: </w:t>
    </w:r>
    <w:bookmarkStart w:id="59" w:name="AuditStartDate1"/>
    <w:r>
      <w:rPr>
        <w:rFonts w:cs="Arial"/>
        <w:sz w:val="16"/>
        <w:szCs w:val="20"/>
      </w:rPr>
      <w:t>5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