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Evelyn Page Retirement Village Limited - Evelyn Page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Evelyn Page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Evelyn Page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November 2016</w:t>
      </w:r>
      <w:bookmarkEnd w:id="7"/>
      <w:r w:rsidRPr="009418D4">
        <w:rPr>
          <w:rFonts w:cs="Arial"/>
        </w:rPr>
        <w:tab/>
        <w:t xml:space="preserve">End date: </w:t>
      </w:r>
      <w:bookmarkStart w:id="8" w:name="AuditEndDate"/>
      <w:r w:rsidR="00A4268A">
        <w:rPr>
          <w:rFonts w:cs="Arial"/>
        </w:rPr>
        <w:t>29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Ryman Evelyn Page provides rest home, hospital (geriatric and medical) and dementia level care for up to 137 residents.  On the day of audit there were 120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 xml:space="preserve">The village manager is appropriately qualified and experienced and is supported by a clinical manager (registered nurse) who oversees the care centre.  There are quality systems and processes being implemented.  The service has been actively working on reducing the number of adverse events, reducing turnover of staff and improving communication with service users.  Feedback from residents and families was very positive about the care and services provided.  An induction and in-service training programme are in place to provide staff with appropriate knowledge and skills to deliver care.  </w:t>
      </w:r>
    </w:p>
    <w:p w:rsidRPr="00A4268A">
      <w:pPr>
        <w:spacing w:before="240" w:line="276" w:lineRule="auto"/>
        <w:rPr>
          <w:rFonts w:eastAsia="Calibri"/>
        </w:rPr>
      </w:pPr>
      <w:r w:rsidRPr="00A4268A">
        <w:rPr>
          <w:rFonts w:eastAsia="Calibri"/>
        </w:rPr>
        <w:t>The service is commended for achieving four areas of continuous improvement around good practice, the activities programme, food and nutrition and the laundry service.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Māori health plan in place.  Individual care plans reference the cultural needs of residents.  Discussions with residents and relatives confirm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There is an established system for the management of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assistant manager and clinical manager are responsible for the day-to-day operations.  Goals are documented for the service with evidence of regular reviews.  </w:t>
      </w:r>
    </w:p>
    <w:p w:rsidRPr="00A4268A">
      <w:pPr>
        <w:spacing w:before="240" w:line="276" w:lineRule="auto"/>
        <w:rPr>
          <w:rFonts w:eastAsia="Calibri"/>
        </w:rPr>
      </w:pPr>
      <w:r w:rsidRPr="00A4268A">
        <w:rPr>
          <w:rFonts w:eastAsia="Calibri"/>
        </w:rPr>
        <w:t xml:space="preserve">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is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twenty-four hours a day, seven days a week.  Residents and families report that staffing levels are adequate to meet the needs of the residents.  </w:t>
      </w:r>
    </w:p>
    <w:p w:rsidRPr="00A4268A">
      <w:pPr>
        <w:spacing w:before="240" w:line="276" w:lineRule="auto"/>
        <w:rPr>
          <w:rFonts w:eastAsia="Calibri"/>
        </w:rPr>
      </w:pPr>
      <w:r w:rsidRPr="00A4268A">
        <w:rPr>
          <w:rFonts w:eastAsia="Calibri"/>
        </w:rPr>
        <w:t xml:space="preserve">The integrated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The registered nurses complete interRAI assessments, risk assessments, care plans and evaluations within the required timeframes.  Care plans demonstrate service integration.  Residents and family interviewed confirmed they were involved in the care planning process and review.  Care plans were updated for changes in health status.  The general practitioner completes an admission assessment and visits and reviews the residents at least three-monthly.</w:t>
      </w:r>
    </w:p>
    <w:p w:rsidRPr="00A4268A" w:rsidP="00621629">
      <w:pPr>
        <w:spacing w:before="240" w:line="276" w:lineRule="auto"/>
        <w:rPr>
          <w:rFonts w:eastAsia="Calibri"/>
        </w:rPr>
      </w:pPr>
      <w:r w:rsidRPr="00A4268A">
        <w:rPr>
          <w:rFonts w:eastAsia="Calibri"/>
        </w:rPr>
        <w:t xml:space="preserve">The activity team provide an activities programme in the rest home and hospital and a separate programme in the dementia care unit.  The Engage programme meets the abilities and recreational needs of the groups of residents.  A village friend’s volunteer group are involved in the programme.  There were 24-hour activity plans for residents in the dementia care unit that were individualised for their needs.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A dietitian, at an organisational level, designs the menu.  Individual and special dietary needs are accommodated.  Nutritional snacks are available around the clock for residents in the dementia care unit.  Residents interviewed responded favourably to the food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00FF"/>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All standards applicable to this service fully attained with some standards exceeded.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were stored safely throughout the facility.  All bedrooms are single occupancy with ensuites.  There was sufficient space to allow the movement of residents around the facility.  The hallways and communal areas were spacious and accessible.  The outdoor areas were safe and easily accessible.  </w:t>
      </w:r>
    </w:p>
    <w:p w:rsidRPr="00A4268A">
      <w:pPr>
        <w:spacing w:before="240" w:line="276" w:lineRule="auto"/>
        <w:rPr>
          <w:rFonts w:eastAsia="Calibri"/>
        </w:rPr>
      </w:pPr>
      <w:r w:rsidRPr="00A4268A">
        <w:rPr>
          <w:rFonts w:eastAsia="Calibri"/>
        </w:rPr>
        <w:t xml:space="preserve">There is an emergency management plan in place and adequate civil defence supplies in the event of an emergency.  There is a person on duty at all times with first aid training.  </w:t>
      </w:r>
    </w:p>
    <w:p w:rsidRPr="00A4268A">
      <w:pPr>
        <w:spacing w:before="240" w:line="276" w:lineRule="auto"/>
        <w:rPr>
          <w:rFonts w:eastAsia="Calibri"/>
        </w:rPr>
      </w:pPr>
      <w:r w:rsidRPr="00A4268A">
        <w:rPr>
          <w:rFonts w:eastAsia="Calibri"/>
        </w:rPr>
        <w:t>Housekeeping staff maintain a clean and tidy environment.  All laundry services are managed on-site.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for the safe assessment and review of restraint and enabler use.  A register is maintained by the restraint coordinator.  During the audit nine residents were using restraints and two residents were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includes policies and procedures to guide staff.  The infection prevention and control team holds integrated meetings with the health and safety team.  The infection prevention and control register is used to document all infections.  A monthly infection control report is completed and forwarded to head office for analysis and benchmarking.  A six-monthly comparative summary is completed.  The service has successfully managed to contain two gastroenteritis outbreaks during the periods September 2015 and June 2016.</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4</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23"/>
        <w:gridCol w:w="1280"/>
        <w:gridCol w:w="90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Health and Disability Commissioner (HDC) Code of Health and Disability Services Consumers’ Rights (the Code).  Information related to the Code is made available to residents and their families.  Four managers (one village manager, one assistant manager, one clinical manager, one regional manager) and twenty-three care staff (nine registered nurses (RNs); eight caregivers (two serviced apartments, two dementia (special care unit), two hospital and two rest home covering both AM and PM shifts), one serviced apartment coordinator and five activities staff) described how the Code is incorporated into their working environment.  Staff receive training about the Code during their induction to the service.  This training continues through the mandatory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enduring power of attorney (EPOA) signs written consents.  Advanced directives are signed for separately.  There is evidence of discussion with family when the GP completes a clinically indicated not for resuscitation order.  Copies of EPOA are kept on the residents’ files.  Eight caregivers and nine registered nurses (RN) interviewed confirmed verbal consent is obtained when delivering care.  Discussions with family members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Eleven resident files sampled (four dementia, four rest home- including one rest home resident in the serviced apartments and three hospital residents) have signed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The residents’ files include information on the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Links were identified with local schools, the volunteer programme, the retired services association and Age Concern.  Interviews with staff, residents and relatives confirmed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readily available.  Information about complaints is provided on admission.  Interviews with all residents and family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that includes written and verbal complaints, dates and actions taken and demonstrates that complaints are being managed in a timely manner.  The complaints process is linked to the quality and risk management system.  All complaints received in 2016 (two hospital level, four rest home level, four serviced apartment level) were documented as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There is also the opportunity to discuss aspects of the Code during the admission process.  Nine relatives (one rest home, four hospital, four dementia (special care unit) and sixteen residents (nine rest home including one in a serviced apartment, seven hospital) stated they were provided with information on admission which included the Code.  Large print posters of the Code and advocacy information are displayed throughout the facility.  The village manager reported having an open-door policy and described discussing the information pack with residents/relatives on admission.  Relatives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policies that support resident privacy and confidentiality.  A tour of the facility confirmed there are areas that support personal privacy for residents.  During the audit, staff were observed being respectful of residents’ privacy by knocking on doors prior to entering resident rooms and ensuring doors were closed while cares were being done.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and involves residents in decisions about their care.  Residents’ preferences are identified during the admission and care planning process with family involvement.  Instructions are provided to residents on entry regarding responsibilities of personal belongings in their admission agreement.  Caregivers interviewed described how choice is incorporated into resident cares.  Staff attend education and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local iwi and other community representative groups as requested by the resident/family.  Cultural needs are addressed in the care plan.  There were no residents who identified as Māori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family/whānau as appropriate are invited to be involved.  Individual beliefs and values are discussed and incorporated into the care plan.  Six-monthly multidisciplinary team meetings occur to assess if needs are being met.  Family are invited and encouraged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full facility meetings occur monthly and include discussions on professional boundaries and concerns as they arise.  Management provide guidelines and mentoring for specific situations.  Interviews with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three-yearly.  The content of policy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are collected against each service level and reported through to Ryman Christchurch (formerly known as head office) for collating, monitoring and benchmarking between facilities.  Indicators include resident incidents by type, resident infections by type, staff incidents or injuries by type and resident and relative satisfaction.  Feedback is provided to staff via the various meetings as determined by the Ryman programme (previously known as Ryman Accreditation Programme RAP).  Quality improvement plans (QIP) are developed where results do not meet expectations.  An electronic resident care system is used by all sites to report relevant data through to Ryman Christchurch.  The system of data analysis and trend reporting is designed to inform staff at the facility level.  Management at facility level are then able to implement changes to practice based on the evidence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that is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arises.  Evidence of families being kept informed is documented on the electronic database and in the residents’ progress notes.  All family interviewed stated they were well-informed.  Twenty incident/accident forms and corresponding residents’ files were reviewed and all identified that the next of kin were contacted.  Regular resident and family meetings provide a forum for residents to discuss issues or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interpreter services is available if needed for residents who are unable to speak or understand English.  There were two residents in the dementia unit who occasionally reverted to their first language.  Family and staff are available to interpret.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Evelyn Page is a Ryman retirement village located in Orewa.  The service is certified to provide rest home, hospital (geriatric and medical) and dementia level care in their care centre for up to 117 residents.  In addition, there are 20 serviced apartments certified to provide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There are 40 dual purpose beds on the ground level where there were 25 hospital level and 15 rest home level residents.  The hospital wing (40 beds) is on the second floor and was also full with 40 residents during the audit.  There are two dementia units on the third level with nineteen and eighteen beds respectively.  Occupancy was 35 (19 residents and 16 residents). There are five rest home level residents in the serviced apartments.  Two of the hospital level residents were on respite (one private and one discharged on day one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that guides quality improvement and risk management.  Organisational objectives for 2016 were created around the letter ‘T’ (one team, turn, timely and take ownership) with evidence of monthly reviews and quarterly reporting on progress towards meeting these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her role for three year and has been employed by Ryman since February 2011.  She has over 14 years of experience in managerial roles and has attended over eight hours (year to date) of professional development activities related to managing an aged care facility. She is supported by a regional manager, an assistant manager and a clinical manager/RN.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assistant manager are responsible during the temporary absence of the village manager, with support from the regional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Evelyn Page has a well-established quality and risk management system that is directed by Ryman Christchurch.  Quality and risk performance is reported across the facility meetings and to the organisation's management team.  Discussions with the management team and 29 staff (twenty-three care staff, one maintenance, one cleaner, three laundry staff, one kitchen manager) and review of management and staff meeting minutes demonstrate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Regular resident and family meetings are conducted.  Meetings are held specific to the level of care.  Minutes are maintained.  Annual resident and relative surveys are completed with a quality improvement plan developed if there is an area identified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in accordance with the monthly team.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implemented for the collection, analysis and evaluation of quality data.  A range of data (e.g., falls, pressure injuries, challenging behaviours, infections) is collected across the service using an electronic data system.  Data is collated and analysed with evaluation reports completed six-monthly.  Data analysis describes variation, patterns and trends.  Data is benchmarked against other Ryman facilities.  Communication of results occurs across a range of meetings (e.g., management meetings, full facility meetings, team Ryman meetings).  Templates for all meetings document action required, timeframe and the status of the actions.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two-monthly health and safety committee meetings.  A health and safety officer is appointed who has completed external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Ryman has achieved tertiary level ACC Workplace Safety Management Practice (expiry 31 March 2017).</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but not limited to: a ‘traffic light’ system to identify those at high risk of falling, intentional rounding, the development of a falls calendar, physiotherapy input and regular exercise programmes that link to the Otago falls prevention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 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20 incident/accident forms for 2016 identified that all are fully completed and include follow-up by a registered nurse.  The adverse event reporting process is linked to the quality and risk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was able to identify a range of situations that required reporting to statutory authorities (one pressure injury notification and four gastroenteritis outbreaks.  Two sudden deaths in 2016 required coroners input to determien case of death.  Both were identified as natural causes.  A section 31 for both deaths was filed &amp; evidenced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Fourteen staff files reviewed (six RNs, three caregivers, one laundry, two activities coordinators, one housekeeper, one kitchen assistant) included an application form, interview and reference checks, signed employment contracts, job description relevant to the role(s) the staff member is in, completion of a general and job-specific orientation programme and annual performance appraisals with eight 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RN practising certificates is maintained within the facility.  Practising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orientation/induction programme provides new staff with relevant information for safe work practice.  It is tailored specifically to each position.  There is an implemented annual education plan.  The annual training programme exceeds eight hours annually.  Training is repeated to ensure all staff are able to attend.  There is an attendance register for each training session and an individual staff member record of training.  Twenty-two of thirty-four caregivers who work in the dementia units have completed their required dementia qualification.  The remaining twelve staff have worked in the dementia units for less than one year and are working towards completing their qualification.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Seven out of twenty-four registered nurses have completed their interRAI training.  There are implemented competencies for registered nurses and caregivers related to specialised procedures or treatments including medication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This defines staffing ratios to residents.  Rosters implement the staffing rationale.  There is a minimum of two RNs and eight caregivers on-site at any time.  Activities are provided seven days a week in the hospital and dementia unit.</w:t>
            </w:r>
          </w:p>
          <w:p w:rsidR="00EB7645" w:rsidRPr="00BE00C7" w:rsidP="00BE00C7">
            <w:pPr>
              <w:pStyle w:val="OutcomeDescription"/>
              <w:spacing w:before="120" w:after="120"/>
              <w:rPr>
                <w:rFonts w:cs="Arial"/>
                <w:b w:val="0"/>
                <w:lang w:eastAsia="en-NZ"/>
              </w:rPr>
            </w:pPr>
            <w:r w:rsidRPr="00BE00C7">
              <w:rPr>
                <w:rFonts w:cs="Arial"/>
                <w:b w:val="0"/>
                <w:lang w:eastAsia="en-NZ"/>
              </w:rPr>
              <w:t>In addition to staff RNs, RN cover includes a full-time unit coordinator for the 40 bed dual purpose rest home/hospital floor, a hospital unit coordinator for the 40 bed hospital unit and a special care coordinator for the dementia units.  The unit coordinator for the serviced apartments is a foreign trained nurse.  A minimum of one senior caregiver is on duty in the serviced apartments during the night shift with additional staffing on the AM (four caregivers) and PM (three caregivers) shifts.  Staffing throughout the facility meets contractual requirements and is adjusted based on the number of residents and their acuity.</w:t>
            </w:r>
          </w:p>
          <w:p w:rsidR="00EB7645" w:rsidRPr="00BE00C7" w:rsidP="00BE00C7">
            <w:pPr>
              <w:pStyle w:val="OutcomeDescription"/>
              <w:spacing w:before="120" w:after="120"/>
              <w:rPr>
                <w:rFonts w:cs="Arial"/>
                <w:b w:val="0"/>
                <w:lang w:eastAsia="en-NZ"/>
              </w:rPr>
            </w:pPr>
            <w:r w:rsidRPr="00BE00C7">
              <w:rPr>
                <w:rFonts w:cs="Arial"/>
                <w:b w:val="0"/>
                <w:lang w:eastAsia="en-NZ"/>
              </w:rPr>
              <w:t>Staff were visible during the audit and were attending to call bells in a timely manner as confirmed by all residents and families interviewed.  Staff interviewed stated that overall the staffing levels are satisfactory and that the management team provide good support.  Residents and family members interviewed report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Entries are legible, dated and signed by the relevant care assistant or registered nurse including designation.  Individual resident files demonstrate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Relatives interviewed stated they were well informed upon admission.  The service has a well-developed information pack available for residents/families/whānau at entry. The information pack for residents being admitted to the secure dementia unit contains information relating to the service philosophy, restraint minimisation, behaviour management and the complaints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Eleven admission agreements viewed were signed.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 up.  A record of transfer documentation is kept on the resident’s file.  All relevant information is documented and communicated to the receiving health provider or service.  A transfer form accompanies residents to receiving facilities and communication with family is made.  One rest home file was reviewed of a respite resident that had been transferred to hospital acutely.  All appropriate documentation and communication was completed.  Transfer to the hospital and back to the facility post-discharge was well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service uses individualised blister packs for regular and ‘as required’ (PRN) medications. Medication reconciliation is completed by an RN on delivery of medication and any errors are fed back to the pharmacy.  All medications were securely and appropriately stored on day of audit.  There are weekly and six-monthly controlled drug checks.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 have been assessed for competency on an annual basis.  Education around safe medication administration has been provided.  RN's have completed syringe driver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Twenty-two medication charts were reviewed (eight rest home –including two residents receiving rest home care in the serviced apartments, six hospital and eight dementia) The service uses an electronic medication management system. All medication charts reviewed have ‘as required’ medications prescribed with an individualised indication for use.  The medication charts reviewed identified that the GP had seen and reviewed the resident three-monthly.  The medication folders include a list of specimen signatures.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be safely administering medications.  Registered nurses and care staff interviewed could describe their role in regard to medicine administration.  Standing orders are not used.   Seven self-medicating residents (rest home) had been assessed by the GP and RN as competent to self-administer.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weekly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signed agreement with the pharmacy.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head chef who is supported by cooks and kitchen assistants.  All staff have been trained in food safety and chemical safety.  A four-weekly seasonal menu had been designed in consultation with company chefs and the dietitian, at organisational level.  All meals are prepared and cooked on-site. The service has implemented a food service improvement project, which has resulted in an increase in resident satisfaction with the food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receives a resident dietary profile for all new admissions and is notified of any dietary changes such as a resident with weight loss/weight gain or swallowing difficulties.  Resident likes, dislikes and dietary preferences were known.  Alternative foods are offered.  Cultural, religious and food allergies are accommodated.  Special diets such as pureed, soft and diabetic desserts are provided.  Food is delivered in scan boxes and served from bain-maries in each of the unit kitchenettes.  Freezer and chiller temperatures and end-cooked temperatures are taken and recorded twice daily.  Chilled goods temperature is checked on delivery.  Twice daily food temperatures are monitored and recorded.  All foods were date labelled.  A cleaning schedule is maintained.  Feedback on the service is received from resident meetings, surveys and audits.  The head chef maintains regular contact with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to residents/family/whānau.  Anyone declined entry is referred to the needs assessment service or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assessments within its clinical practice.  Risk assessments have been completed on admission and reviewed six-monthly as part of the evaluation process.  The outcomes of interRAI assessments and risk assessments (triggered) were reflected in the care plan.  Additional assessments such as behavioural, wound and restraints care were completed according to need.  In the resident files reviewed, the outcomes of all assessments, needs and supports required were reflected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comprehensive and demonstrated service integration and input from allied health.  All resident care plans reviewed were resident centred and support needs and interventions were documented in detail to reflect the outcomes of clinical assessments.  Care plans reviewed were amended to reflect changes in health status and were reviewed on a regular basis.  Family members interviewed confirm care delivery and support by staff is consistent with their expectations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visit.  Communication to the GPs for residents’ change in health status was sighted in the resident’s files. Residents interviewed reported their needs were being met.  Relatives interviewed stated their relative’s needs were being appropriately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all current wounds. There were four residents with facility acquired stage II resolving to stage I pressure injuries.  Pressure injury prevention strategies are included in the long-term care plan.  GPs are notified of all wounds.  Adequate dressing supplies were sighted in the treatment rooms.  The Ryman wound care nurse specialist visits the care centre and supports the work completed by the on-site registered nurse, wound care nurse and the registered nurses.  Staff receive regular education on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food and fluid charts, restraint, blood sugar levels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Engage programme has been reviewed to ensure that the activities that are offered are meaningful and relevant for all cognitive capacities and are gender appropriate.  The review of the Engage programme has resulted in increased attendance and satisfaction with the activities offered across all services in the past 12 months.</w:t>
            </w:r>
          </w:p>
          <w:p w:rsidR="00EB7645" w:rsidRPr="00BE00C7" w:rsidP="00BE00C7">
            <w:pPr>
              <w:pStyle w:val="OutcomeDescription"/>
              <w:spacing w:before="120" w:after="120"/>
              <w:rPr>
                <w:rFonts w:cs="Arial"/>
                <w:b w:val="0"/>
                <w:lang w:eastAsia="en-NZ"/>
              </w:rPr>
            </w:pPr>
            <w:r w:rsidRPr="00BE00C7">
              <w:rPr>
                <w:rFonts w:cs="Arial"/>
                <w:b w:val="0"/>
                <w:lang w:eastAsia="en-NZ"/>
              </w:rPr>
              <w:t>Six activity coordinators implement a separate activity programme for the rest home, hospital and dementia units.  The Ryman ‘Engage’ programme is currently delivered Monday to Friday in the rest home and hospital areas.  There are two activity coordinators (one for each unit) providing activities in the dementia unit over the seven-day week from 9.30am – 6.30pm. All activity team members have a current first aid certificate.  One activity coordinator in the dementia care unit has completed dementia unit standards and the other is progressing through the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all cognitive and physical abilities of the resident group.  Residents in the dementia care unit were observed being taken for supervised walks outside.  Spontaneous pet therapy sessions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were observed to be delivered simultaneously in the rest home, hospital and dementia unit.  Rest home residents in the serviced apartment may choose to attend either the serviced apartment or rest home programme.  Daily contact is made and one-on-one time spent with residents who are unable to participate in group activities or choose not to be involved in the activity programme.  ‘Village friends’ is a group of village volunteers who are involved in the activities programme.  The volunteer group has been beneficial for residents who require one-on-one time and small group activities such as the men’s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outings/drives for all residents (as appropriate), weekly entertainment and involvement in community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were held bi-monthly and open to families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six-monthly with the care plan review.  The resident/family/whānau as appropriate, are involved in the development of the activity plan.  Residents/relatives have the opportunity to feedback on the programme through the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six-monthly, or when changes to care occurred.  Written evaluations describe the residents progress against the residents (as appropriate) identified goals.  Care plans for short-term needs were evaluated and either resolved or added to the long-term care plan as an ongoing problem.  The multidisciplinary review involves the RN, GP, activities staff and resident/family.  The family are notified of the outcome of the review if unable to attend.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or different level of care.  Discussion with the clinical manager and four unit coordinators identified that the service has access to a wide range of support either through the GP, Ryman specialists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 sheets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three service levels across three floors. The serviced apartments are accessed from the ground floor. There are 40 hospital beds on the ground floor, 40 dual purpose beds on level 1 and 37 dementia beds split into 2 wings of 19 and 18 beds on level 2.   There are multiple lifts and stairs access between the levels and secure entrance and exits to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6 September 2017.   </w:t>
            </w:r>
          </w:p>
          <w:p w:rsidR="00EB7645" w:rsidRPr="00BE00C7" w:rsidP="00BE00C7">
            <w:pPr>
              <w:pStyle w:val="OutcomeDescription"/>
              <w:spacing w:before="120" w:after="120"/>
              <w:rPr>
                <w:rFonts w:cs="Arial"/>
                <w:b w:val="0"/>
                <w:lang w:eastAsia="en-NZ"/>
              </w:rPr>
            </w:pPr>
            <w:r w:rsidRPr="00BE00C7">
              <w:rPr>
                <w:rFonts w:cs="Arial"/>
                <w:b w:val="0"/>
                <w:lang w:eastAsia="en-NZ"/>
              </w:rPr>
              <w:t>The facility employs two maintenance staff (full-time and on call) and gardens and grounds staff.  Daily maintenance requests are addressed and a 12-monthly planned maintenance schedule is in place and has been signed off monthly (sighted).  Essential contractors are available 24 hours.  Electrical testing is completed annually.  An external contractor completes annual calibration and functional checks of medical equipment.</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in resident areas are monitored.  Temperature recordings reviewed were between 43-45 degrees Celsius.  Currently air conditioning units are being installed in the serviced apartment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mobilise safely using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safely accessing the outdoor gardens and courtyards.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cares as outlined in the resident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includes an open plan dining/lounge area.  There is free and safe access to an outdoor deck area with raised gardens,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There is a men’s shed in one of the courtyards.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occupancy and have ensuites.  There were communal toilets located closely to the communal areas.  Toilets have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are of an appropriate size in all areas to allow care to be provided and for the safe use and manoeuvring of mobility aids.   Mobility aids can be managed in ensuites. Bedrooms are personalised.  Bedroom doors in the dementia unit have door photographs to aid resident identification of their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has a functioning kitchen unit and dining area.  Large lounges have seating placed to allow for individual or group activities.  There is a smaller lounge/library area and seating alcoves in the hospital and other areas.  The communal areas are easily accessible.  The dementia care units have spacious open plan dining/lounge areas with seating placed appropriately to allow for low stimulus, small group and individual activities.  There is a smaller family/whānau lounge for quiet activities or family visits.  The communal areas in the dementia unit are easily and safely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Ryman group has documented systems for monitoring the effectiveness and compliance of the cleaning and laundry service.  Laundry and cleaning audits were completed as per the internal audit programme.  The laundry had an entry and exit door with defined clean/dirty areas.  There are multiple areas for storing cleaning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area for the storage of cleaning and laundry chemicals for the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persons on duty each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linen and personal clothing is laundered on-site.  A project was implemented to reduce the number of resident items misplaced in the laundry. Resident and family interviewed reported increased satisfaction with the laundry service. </w:t>
            </w:r>
          </w:p>
          <w:p w:rsidR="00EB7645" w:rsidRPr="00BE00C7" w:rsidP="00BE00C7">
            <w:pPr>
              <w:pStyle w:val="OutcomeDescription"/>
              <w:spacing w:before="120" w:after="120"/>
              <w:rPr>
                <w:rFonts w:cs="Arial"/>
                <w:b w:val="0"/>
                <w:lang w:eastAsia="en-NZ"/>
              </w:rPr>
            </w:pPr>
            <w:r w:rsidRPr="00BE00C7">
              <w:rPr>
                <w:rFonts w:cs="Arial"/>
                <w:b w:val="0"/>
                <w:lang w:eastAsia="en-NZ"/>
              </w:rPr>
              <w:t>Nine-housekeeping staff have completed a level two cleaning and caretaking course.  A project to sustain resident satisfaction with the housekeeping service has been implemented with residents expressing satisfaction with this service.  Residents interviewed stated they were happy with the cleanliness of their bedrooms and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Emergency management, first aid and CPR are included in the mandatory in-service programme.  There is a minimum of one first aid trained staff member on every shift.  The facility has an approved fire evacuation plan and fire drills take place six-monthly.  Smoke alarms, sprinkler system and exit signs are in place.  Emergency lighting and cooking facilities are in place.  There are civil defence kits in the facility and stored water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is evident in resident’s rooms, lounge areas and toilets/bathrooms.  Serviced apartments have a call bell system, which is linked to staff pagers.  Staff advise that they conduct security checks at night, in addition to an external contractor.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ventilated and heated, with underfloor heating.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was appropriate for the size and complexity of the service.  There was an infection prevention and control responsibility policy that includes a chain of responsibility and infection prevention and control officer’s job description.  The infection prevention and control programme is linked into the quality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committee is combined with the health and safety committee which meets bi-monthly.  The facility meetings also include a discussion of infection prevention and control matters.  The programme is set out annually from head office and directed via an annual calendar.  The facility has developed links with the GP's, local laboratory, the infection control and public health departments at the local DHB.  There is an appointed registered nurse who is responsible for infection prevention and control at the facility.  The infection control nurse has been in the role for three years. A signed job description for the role was on file.  Staff observe visitors to the site for signs of illness and advise accordingly.  Residents are offered the annual influenza vaccine.  Hand sanitisers are strategically placed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committee (combined with the health and safety committee) consists of a cross-section of staff from areas of the service.  The infection control and prevention officer has completed training via the Ryman annual infection control teleconference and has attended external education September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also has access to an infection prevention and control consultant, nurse specialist from the DHB, public health, GPs and expertise from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comprehensive infection prevention and control policies that were current and reflected the Infection Prevention and Control Standard SNZ HB 8134:2008, legislation and good practice.  These policies are generic to Ryman and the templates were developed by an external agency.  The infection prevention and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officer is responsible for coordinating/providing education and training to staff.  The infection prevention and control officer has completed online e-learning infection prevention and control training since commencing in the role.  The orientation/induction package includes specific training around hand washing and standard precautions and training is provided both at orientation and as part of the annual training schedule.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programme is organised and promoted via the Ryman calendar.  Effective monitoring is the responsibility of the infection prevention and control officer who is a registered nurse.  An individual infection report form is completed for each infection.  Data is logged into an electronic system, which gives a monthly infection summary.  This summary is then discussed at the bi-monthly combined health and safety and infection prevention and control (IPC)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Six-monthly comparative summaries of the data are completed and forwarded to head office.  All meetings held at Ryman Evelyn Page include discussion on infection prevention control.  The IPC programme is incorporated into the internal audit programme.  Infection rates are benchmarked across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outbreaks since the last audit, one in September 2015 and one in June 2016.  The outbreaks were well managed according to the MOH guidelines for the management of outbreaks and all reporting requirements were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nine hospital level residents with restraint and two hospital level residents using enablers.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has been provided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(clinical manager)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The file for two hospital level residents using restraint and one hospital level resident using an enabler were reviewed.  The completed assessment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is linked to the resident’s restraint care plan, evidenced in the resident’s files reviewed.  An internal restraint audit, conducted six-monthly,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monitored at pre-determined intervals depending on individual risk to that resident.  Consistent evidence to verify one and two hourly checks were evidenced on the monitoring forms for the two residents’ files used where restraint was in use.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three-monthly and include family, evidenced in two residents’ files where restraint was in use.  The restraint coordinator reported that restraint use is also discussed monthly in the restraint meeting.  This was confirmed in the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a national level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300"/>
        <w:gridCol w:w="64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is beyond the expected full attainment. The service has conducted a number of quality improvement projects where a review process has occurred, including analysis and reporting of findings. There is evidence of action taken based on findings that have resulted in improvements to service provision. The projects include reviewing whether improvements have had positive impacts on resident safety or resident satisfaction.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number of quality initiatives have been implemented with positive outcomes achieved.  The service has embedded a welcoming and structured orientation process for new staff that ensures they feel welcomed, supported, confident and competent in their roles thus ensuring improved care for residents.  The staff roster is stable and consistent so that residents and family get to know the staff and are very satisfied with the communication and care, as evidenced in the satisfaction survey results when comparing results between 2015 and 2016.  Staff turnover has also declined.  Completion rates of inductions have improved to 100%.</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an improvement project around palliative care which has seen an increase with family satisfaction with this aspect of care.  The number of palliative care referrals has increased.  Staff training on palliative care has resulted in staff feeling more confident and competent in caring for residents requiring palliative care.  A palliative care kit has been organised for each family and has been well received with positive feedback.</w:t>
            </w:r>
          </w:p>
          <w:p w:rsidR="00EB7645" w:rsidRPr="00BE00C7" w:rsidP="00BE00C7">
            <w:pPr>
              <w:pStyle w:val="OutcomeDescription"/>
              <w:spacing w:before="120" w:after="120"/>
              <w:rPr>
                <w:rFonts w:cs="Arial"/>
                <w:b w:val="0"/>
                <w:lang w:eastAsia="en-NZ"/>
              </w:rPr>
            </w:pPr>
            <w:r w:rsidRPr="00BE00C7">
              <w:rPr>
                <w:rFonts w:cs="Arial"/>
                <w:b w:val="0"/>
                <w:lang w:eastAsia="en-NZ"/>
              </w:rPr>
              <w:t>Housekeeping standards were reviewed and new processes were embedded to improve levels of resident and family satisfaction with the housekeeping standards.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project to improve and sustain resident satisfaction with the meals and the meal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‘Project delicious’ was implemented to improve and sustain resident satisfaction with the food service. Staff were provided with education on all aspects of food safety and the dining experience with a focus on “it’s more than it is what is on the plate”.  The menu was reviewed and the menu now provides residents with an alternative at each meal service.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staff decorate the dining room and the tables are set nicely to enhance the dining experience. The menu of the day is displayed on boards in the dining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are encouraged to provide feedback in the notebook in each dining area about their dining experience and the food provided. This feedback is reviewed daily by the village manager and the chef and trends are discussed at staff and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Resident dietary needs are discussed at kitchen meetings to ensure all kitchen staff have relevant information about the resident’s dietary needs.</w:t>
            </w:r>
          </w:p>
          <w:p w:rsidR="00EB7645" w:rsidRPr="00BE00C7" w:rsidP="00BE00C7">
            <w:pPr>
              <w:pStyle w:val="OutcomeDescription"/>
              <w:spacing w:before="120" w:after="120"/>
              <w:rPr>
                <w:rFonts w:cs="Arial"/>
                <w:b w:val="0"/>
                <w:lang w:eastAsia="en-NZ"/>
              </w:rPr>
            </w:pPr>
            <w:r w:rsidRPr="00BE00C7">
              <w:rPr>
                <w:rFonts w:cs="Arial"/>
                <w:b w:val="0"/>
                <w:lang w:eastAsia="en-NZ"/>
              </w:rPr>
              <w:t>The resident and relative satisfaction survey results evidenced that there has been an improvement noted across all service levels from the previous year’s result in relation to the food service. There has also been an increase in the positive comments noted in the food comment notebooks.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the need to improve resident satisfaction with the Engage programme and increase involvement and attendance at activity sessions.  The Engage programme was reviewed, to offer more variety and activities tailored to meet the needs of groups and individuals.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existing Engage programme was reviewed based on resident feedback and the programme was amended to include more involvement from the village residents as volunteers, the introduction of a men’s club and a change to the hours’ staff worked in the dementia units to provide a programme and support up until 6.30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given training on the amended programme and on individual resident goal setting. The Engage calendar is displayed in each area.  Staff are encouraged to take   photos of residents attending the activities and copies of these are regularly sent to family members.  The lounge activity programme for the hospital and care centre residents was reintroduced providing activities between 4 and 8 pm. The making memories programme with a focus on music and pet therapy was introduced. The SPCA regularly brings animals into each area and the dementia residents were supported to knit a blanket for the visiting dog. </w:t>
            </w:r>
          </w:p>
          <w:p w:rsidR="00EB7645" w:rsidRPr="00BE00C7" w:rsidP="00BE00C7">
            <w:pPr>
              <w:pStyle w:val="OutcomeDescription"/>
              <w:spacing w:before="120" w:after="120"/>
              <w:rPr>
                <w:rFonts w:cs="Arial"/>
                <w:b w:val="0"/>
                <w:lang w:eastAsia="en-NZ"/>
              </w:rPr>
            </w:pPr>
            <w:r w:rsidRPr="00BE00C7">
              <w:rPr>
                <w:rFonts w:cs="Arial"/>
                <w:b w:val="0"/>
                <w:lang w:eastAsia="en-NZ"/>
              </w:rPr>
              <w:t>The Engage programme now includes more active activities for the residents including dance, cooking, gardening and quizzes. Evelyn Page has developed a village friends programme where by village volunteers spend time with the residents visiting and reading to them. The village friends also support the running of the ‘blokes shed’ and men’s club.  The village friends have a rapport with the residents and their families that strengthen the feeling of family and community.  The village friends have a roster of volunteers available to provide companionship and reassurance for residents who are in palliative care and provide support for the 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extension of the activity staff hours in the dementia units has seen a reduction in behaviours over this time and a reduction in the use of PRN medication. There has been an increase in resident satisfaction around activities, as evidenced in the February 2016 survey results and an increase in weekly attendance at the activities offered.  Staff interviewed described an increase in resident engagement during the activities that are offered </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relatives interviewed on the day of audit confirmed their satisfaction with the activities and the one-on-one companionship provided to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continuous improvement project was commenced in January 2015 to increase resident and relative satisfaction with laundry services.  Missing/lost clothing items had been identified as a resident/relative concern in resident surveys and resident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was provided with individually labelled laundry bags for their personal clothing.  The purple resident clothing bags were seen in resident ensuites.  The organisation purchased a labelling machine and created a new laundry shift with the responsibility for labelling all resident personal items on admission and as required.  All laundry staff received training on the new labelling machine and laundry processes.  The laundry person interviewed on the day of audit could describe the procedure for reducing the amount of missing clothing.  Residents and relatives were informed of the labelling procedure.  Ongoing discussions at the resident meetings and laundry audits evidenced an improvement in laundry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satisfaction survey results for February 2016 evidenced increased satisfaction with the laundry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interviews on the day of audit confirmed there has been a marked reduction in the number of personal clothing lost or missing and they were very satisfied with the laundry service.  The implementation of a laundry labeller system and individualised clothing bags per resident has reduced the number of missing/lost items of personal clothing.  Any lost items of laundry are now sent to the village manager who repatriates these to the owners. The village manager advised that they now only receive one to two items of lost clothing per fortnight.  A visit to the laundry on the day of audit demonstrated evidence of the system being implemented with only one item of unnamed clothing and the process being implemented to rename this.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Evelyn Page Retirement Village Limited - Evelyn Page Retirement Village</w:t>
    </w:r>
    <w:bookmarkEnd w:id="58"/>
    <w:r>
      <w:rPr>
        <w:rFonts w:cs="Arial"/>
        <w:sz w:val="16"/>
        <w:szCs w:val="20"/>
      </w:rPr>
      <w:tab/>
      <w:t xml:space="preserve">Date of Audit: </w:t>
    </w:r>
    <w:bookmarkStart w:id="59" w:name="AuditStartDate1"/>
    <w:r>
      <w:rPr>
        <w:rFonts w:cs="Arial"/>
        <w:sz w:val="16"/>
        <w:szCs w:val="20"/>
      </w:rPr>
      <w:t>28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