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NorthHaven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December 2016</w:t>
      </w:r>
      <w:bookmarkEnd w:id="7"/>
      <w:r w:rsidRPr="009418D4">
        <w:rPr>
          <w:rFonts w:cs="Arial"/>
        </w:rPr>
        <w:tab/>
        <w:t xml:space="preserve">End date: </w:t>
      </w:r>
      <w:bookmarkStart w:id="8" w:name="AuditEndDate"/>
      <w:r w:rsidR="00A4268A">
        <w:rPr>
          <w:rFonts w:cs="Arial"/>
        </w:rPr>
        <w:t>6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NorthHaven Hospital is certified to provide residential disability level care (intellectual and physical); psychogeriatric level care; hospital (geriatric and medical) and rest home care for up to 106 residents.  During the audit, there were 94 residents.</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care home manager is appropriately qualified and experienced.  Interviews with residents and relatives confirmed overall satisfaction with the care and service provided.  </w:t>
        <w:br/>
        <w:t>The one shortfall identified at their previous audit has not been addressed.  This was around ensuring care plans reflected resident need.</w:t>
      </w:r>
    </w:p>
    <w:p w:rsidRPr="00A4268A">
      <w:pPr>
        <w:spacing w:before="240" w:line="276" w:lineRule="auto"/>
        <w:rPr>
          <w:rFonts w:eastAsia="Calibri"/>
        </w:rPr>
      </w:pPr>
      <w:r w:rsidRPr="00A4268A">
        <w:rPr>
          <w:rFonts w:eastAsia="Calibri"/>
        </w:rPr>
        <w:t>Further improvements are required around completing reviews and assessments within the required timeframes, medication fridge temperature monitoring, improving attendance at staff education sessions and ensuring kitchen cleaning schedules are adhered to.</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care home manager and clinical manager have an open-door policy.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Bupa NorthHaven Hospital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activities team provide an activities programme for the residents in each area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on-site.  Food, fridge and freezer temperatures are recorded.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Bupa restraint policy that includes comprehensive restraint procedures including restraint minimisation.  There is a documented definition of restraint and enablers that aligns with the definition in the standards.  There were nine restraints and two enablers being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Seventeen complaints were received in 2016.  All complaints reviewed reflected evidence of responding to complaints in a timely manner with appropriate follow-up actions taken.  All complaints were signed off by the care home manager 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Twenty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psychogeriatric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or their representative/EPOA are advised that there are a number of shared rooms in each unit. Advised by care home manager that verbal consent is gained prior to admission (when visiting to view the room available) should a bed in a shared room be the only one available.  All shared rooms are occupied by same sex residents and privacy curtains were sighted in shared rooms to maintain resident’s privacy and dignity.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NorthHaven provides hospital, rest home, psychogeriatric and residential disability - intellectual/physical for up to 106 residents.  There were two rest home level residents and 52 hospital level residents in the hospital/rest home units.  There were 38 residents in the two psychogeriatric units.  Additionally, there was one resident under the residential disability contract -physical (in the hospital), one respite care (hospital) and one hospital resident on a medical- interim care contract. </w:t>
            </w:r>
          </w:p>
          <w:p w:rsidR="00EB7645" w:rsidRPr="00BE00C7" w:rsidP="00BE00C7">
            <w:pPr>
              <w:pStyle w:val="OutcomeDescription"/>
              <w:spacing w:before="120" w:after="120"/>
              <w:rPr>
                <w:rFonts w:cs="Arial"/>
                <w:b w:val="0"/>
                <w:lang w:eastAsia="en-NZ"/>
              </w:rPr>
            </w:pPr>
            <w:r w:rsidRPr="00BE00C7">
              <w:rPr>
                <w:rFonts w:cs="Arial"/>
                <w:b w:val="0"/>
                <w:lang w:eastAsia="en-NZ"/>
              </w:rPr>
              <w:t>Bupa NorthHaven is a two storey building with hospital/rest home services being provided on the first floor. This unit has five dual purpose beds. Two of which were occupied by rest home residents.  There is another hospital unit located on the ground floor.  Two psychogeriatric units (one with 20 beds and one with 22 beds) are also located on the ground floor.</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and are regularly reviewed by the care home manager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trained as a registered nurse with a current practising certificate.  The care home manager has worked for Bupa for twenty years and has been in this role at NorthHaven since 2013.  The clinical manager commenced the role in April 2015.   The care home manager and CM are supported by a Bupa Regional Manager and two unit coordinators/RNs.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A corrective action plan was currently being implemented following a recent increase in skin tears and pressure injuries noted to be above the national benchmarking range in November 2016.  Caregivers and RNs interviewed were aware of the corrective actions and described receiving toolbox education sessions on falls preventions, moving and handling and skin care.</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is also in place following feedback received from Customer feedback survey 2016 were the overall satisfaction rate was 76%.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Nine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Toileting plans and intentional rounding are examples of strategies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Twenty accident/incident forms were reviewed.  Each event involving a resident reflected a clinical assessment and follow 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are aware of their requirement to notify relevant authorities in relation to essential notifications with examples provided which included Section 31 notifications to the Ministry of Health when a resident absconded and notification of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Nine staff files reviewed (two RNs, three caregivers, one activities coordinator, one unit coordinator, one kitchen manager and one clinical manager)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reported that a number of experienced registered nurses had left the facility this year due to relocation or for career advancement.  The registered nurses employed have been provided with extra education sessions provided by the Bupa education officer to ensure a robust orientation and clinical competence.</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The overall attendance for education sessions was evidenced to be low.</w:t>
            </w:r>
          </w:p>
          <w:p w:rsidR="00EB7645" w:rsidRPr="00BE00C7" w:rsidP="00BE00C7">
            <w:pPr>
              <w:pStyle w:val="OutcomeDescription"/>
              <w:spacing w:before="120" w:after="120"/>
              <w:rPr>
                <w:rFonts w:cs="Arial"/>
                <w:b w:val="0"/>
                <w:lang w:eastAsia="en-NZ"/>
              </w:rPr>
            </w:pPr>
            <w:r w:rsidRPr="00BE00C7">
              <w:rPr>
                <w:rFonts w:cs="Arial"/>
                <w:b w:val="0"/>
                <w:lang w:eastAsia="en-NZ"/>
              </w:rPr>
              <w:t>Twenty-four caregivers are employed to work in psychogeriatric units with eighteen having completed their national dementia qualification.  Six caregivers are in the process of completing their qualification and have been employed for less than one year.  Three activity staff have completed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Sixteen registered nurses are employed and eight have completed their interRAI training.  There are implemented competencies for registered nurses including (but not limited to)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There is a care home manager Mon - Fri and a clinical manager (registered nurse) Mon - Fri.  There are two hospital and one psychogeriatric unit coordinator’s (all registered nurses), who work Mon-Fri.  The unit coordinator for the psychogeriatric units oversees both psychogeriatric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cover is provided twenty-four hours a day, seven days a week with a minimum of two RNs scheduled at any one time.  One RN is always on duty covering the two psychogeriatric units and one across the hospitals.  Registered nurses are supported by sufficient numbers of caregivers.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(two rest home, eight hospital - including one interim care, one respite and one under 65, and four psychogeriatric). There are policies and procedures in place for safe medicine management that meet legislative requirements.  The service uses an electronic medication management system.  All clinical staff who administer medications have been assessed for competency on an annual basis.  Education around safe medication administration has been provided.  Staff were observed to be safely administering medications.  Registered nurses and care staff interviewed could describe their role regarding medicine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in use. Two rest home residents self-medicating have been assessed and reviewed as per policy. All medication charts reviewed met legislative prescribing requirements.  The medication charts reviewed identified that the GP had seen and reviewed the resident three monthly.  Anti-psychotic management plans are used for residents in the psychogeriatric units when medications are commenced, discontinued or changed.  The psychogeriatrician and or GP reviews the anti-psychotic management plans at least monthly or earlier if required.  The medication fridge temperatures are required to be checked and recoded daily however medication fridge temperatures had not been consistently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NorthHaven are prepared and cooked on-site.  There is a four-weekly seasonal menu which has been reviewed by a dietitian.  Meals are delivered in scan boxes to each unit dining area.  Resident’s individual likes and dislikes are accommodated.  Pureed, gluten free and diabetic desserts are provided.  Cultural and religious food preferences are met.   Additional nutritious snacks are available in all areas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psychogeriatric unit.  Supplements are provided to residents with identified weight loss.  Shortfalls were noted around the communication to kitchen staff of residents with weight loss. Resident meetings and surveys allow for the opportunity for resident feedback on the meals and food services generally.  Residents and family members interviewed were satisfaction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for each meal.   Shortfalls were noted in relation to the safe storage of food and the completion of scheduled cleaning records.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 up by a registered nurse as evidenced in residents' progress notes.  When a resident's condition alters, the registered nurse initiates a review and if required, GP or nurse specialist consultation.  De-escalation techniques are documented for residents with behaviours.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short-term care plans were documented, they were reviewed and if required linked to the long-term care plan.  However, interventions were not documented for all residents with weight loss. The previous audit finding related to interventions to meet resident’s current needs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were well stocked for use.  Wound initial assessment plans and wound evaluations were completed for 15 of 15 wound care plans reviewed.  There has been wound nurse specialist and GP involvement in the care of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could describe access to continence specialist input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provide an activities programme over seven days per week. There is a qualified diversional therapist based in the psychogeriatric units who coordinates the activity programme.  Group activities are voluntary and developed by the activities staff.  Residents were able to participate in a range of activities that were appropriate to their cognitive and physical capabilities.  The service has a van which is used for resident outings.  The group activity plans were displayed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programme for the rest home and hospital residents and residents attend which activity they wish to attend.  A separate programme is provided in the psychogeriatric units, however, residents often join (under supervision) concerts and events with the other residents.  All residents who do not participate regularly in the group activities are visited by a member of the activity staff with records kept to ensure all such residents are included.  All interactions observed on the day of the audit indicated a friendly relationship between residents and activity staff.  The resident files reviewed included a section of the care plan was for activity and has been reviewed six-monthly.  Residents interviewed spoke positively of the activity programme with feedback and suggestions for activities made via meetings and surveys. Two family members interviewed with loved ones in the psychogeriatric unit spoke highly of the activity staff and the varied programme provided.  Two hospital residents interviewed stated that they attend the weekly “stroke and senior moments club” in the community and that activity staff organise transport to and from the club each week.  The organisation has an occupational therapist that oversees the activity programme and is available for activity staff to discuss recreational programmes and provides education for activity staff twice a year.  The residents are maintaining links with the community and continuing activities they participated in outside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documented and evaluated by the RN within three weeks of admission.  Long-term care plans had been reviewed but not all care plans were evaluated or updated following a change in health condition (link 1.3.6.1). The GP reviews the residents at least monthly or earlier if required.  Evidence of monthly GP reviews were seen in all residents’ files sampled.  Ongoing nursing evaluations occur daily/as indicated and are documented within the progress notes (link 1.3.6.1). A multidisciplinary team meeting is conducted six-monthly for each resident and involves all relevant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February 2017).  The facility is accessible to meet the mobility needs of residents with a disability.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There are six hospital residents requiring the use of bed rails as restraint and one hospital resident is environmentally restrained as they cannot use the keypad exit or read the code number written clearly at the keypad.  There are two residents in the psychogeriatric unit who require the use of a lap-belt as a restraint.  There were two hospital residents requiring the use of an enabler (bedrail). Use of an enabler is voluntary.  An assessment for restraint/enabler use and consent form were evidenced completed in two restraint and one enabler file reviewed. The care plans reviewed documented the use of enabler or restraint and contained appropriate interventions. However, monitoring of enabler and restraints when in use were not always evidenced to be consistently documented (link 1.3.6.1).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7"/>
        <w:gridCol w:w="1280"/>
        <w:gridCol w:w="4053"/>
        <w:gridCol w:w="5594"/>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however attendance was observed to be low. In addition, opportunistic education is provided by way of toolbox talks.  Toolbox talks are held on a regular basis and staff are encouraged to participate.  A competency programme is in place with different requirements according to work type (e.g. support work, registered nurse, cleaner).  Core competencies are completed annually and a record of completion is maintained – competency register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Attendance at education sessions was evidenced to be low.  Examples include:  Nutrition and hydration -June 2016; 8 of 94 staff; Restraint -July 2016 12 of 94 staff; Skin care best practise --September 2016 13 of 94 staff; and accident and incident reporting -February 2016 10 of 94 staff attended.  This finding has been rated as a low risk as opportunistic education is provided via toolbox talks and competencies are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sufficient staff attend education and training sessions.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medication management policy outlines the policies and practices to be followed in relation to medication management. Staff interviewed who administer medication could describe safe medication management and administration practices (observed).  Medication is stored in locked trolleys in locked rooms in each clinical area.  There is a process in place for the reconciliation of medication including the checking of new medication packs and for the return of medication to pharmacy.   The medication fridge temperatures are required to be checked and recoded daily however medication fridge temperatures had not been consistently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were not consistently documented in three of three medication fridges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medication fridge temperatures are consistently record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documented for the food service. Kitchen audits are completed as part of the quality management system, Previous audits have generated corrective actions in relation to kitchen cleaning and these corrective actions have been signed out as completed.   On the day of audit the kitchen appeared clean, however, not all scheduled cleaning had been consistently documented as completed. The kitchen staff undertake food preparation in the kitchen. On the day of audit, food preparation for the following day was stored on a desk used by the kitchen manager in an adjoining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kitchen cleaning schedules sighted, did not evidence that the required cleaning had consistently been documented as noted on the corrective action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food premixed and prepared for the next day’s baking (dry goods and butter) was removed from the kitchen food preparation area and was being stored for use the next day on the kitchen manager’s desk in an adjoining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scheduled cleaning is completed and cleaning schedules are fully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food preparation and food storage complies with recognised food safety practices.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nutritional profile for all new residents and sends a copy of this to the kitchen. The kitchen manager had been off for a period of leave and on the day of audit was in the process of implementing the Bupa system for communicating to kitchen staff the resident’s specific dietary requirements. The kitchen manager was unaware of the two residents requiring additional nutritional support following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interviewed on the day of audit was unaware of the two residents (one hospital, one psychogeriatric) requiring support following documented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kitchen staff are aware of the special dietary requirements for all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sampled, interRAI assessments were completed for all residents requiring an interRAI assessment but not all interRAI assessments were completed in the required timeframes. Long-term care plans were completed within 21 days of admission and reviewed by the registered nurse. Long-term care plans were reviewed but not all care plans had been reviewed 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seven files reviewed (hospital) did not have the interRAI assessment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of seven files reviewed (rest home tracer) did not have the long-term care plan reviewed six-monthly.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interRAI assessments and long-term care plan reviews are completed 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from assessments, monitoring charts, observations and interviews with residents, staff and families to develop the care plan. Not all interventions for assessed care needs were included in the care plan and not all interventions documented had been written in sufficient detail to guide the care staff.  Not all interventions currently being implemented were documented in the care plans.  While monitoring charts were being utilised and staff could describe monitoring, not all the required monitoring was fully documented. Interventions noted on the accident and incident forms and by the GP and the wound care specialist nurse were not all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i)Interventions were not documented or documented in sufficient detail to guide care staff for: a) one hospital resident on insulin had no diabetic emergency management interventions documented and no intervention documented for the management of depression, care of the urostomy or a urinary tract infection, b) one psychogeriatric resident had no specific interventions documented for the monitoring required for signs of depression, or possible side effects of a recent change to medication (midazolam), c) one hospital (respite) resident had no interventions documented to manage all current identified needs, d) one hospital resident (YPD) with history of seizures had no interventions documented for the management of seizures, e) one psychogeriatric resident with weight loss had no interventions documented for the weight loss and  f) one rest home resident with history of absconding had no interventions documented to manage the risk at the time of the incident (rest home tracer).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Interventions’ in use were not documented in the care plan for a) one hospital resident using an air mattress, roho cushion and gel booties (hospital tracer), b) one psychogeriatric resident wearing a full body suit, c) one hospital (respite) resident using a sensor mat, and e) one hospital resident (YPD) using a half door to prevent unwanted visitors entering the bedroom.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Monitoring was not consistently documented for a) one hospital resident using an enabler and one hospital resident using a restraint, b) one rest home and one psychogeriatric resident(tracer) on intentional rounding and on food and fluid monitoring.  </w:t>
            </w:r>
          </w:p>
          <w:p w:rsidR="00EB7645" w:rsidRPr="00BE00C7" w:rsidP="00BE00C7">
            <w:pPr>
              <w:pStyle w:val="OutcomeDescription"/>
              <w:spacing w:before="120" w:after="120"/>
              <w:rPr>
                <w:rFonts w:cs="Arial"/>
                <w:b w:val="0"/>
                <w:lang w:eastAsia="en-NZ"/>
              </w:rPr>
            </w:pPr>
            <w:r w:rsidRPr="00BE00C7">
              <w:rPr>
                <w:rFonts w:cs="Arial"/>
                <w:b w:val="0"/>
                <w:lang w:eastAsia="en-NZ"/>
              </w:rPr>
              <w:t>iv) Interventions requested by a GP and/or wound care specialist nurse were not transferred to the long-term care plan for a) one hospital resident (tracer) with multiple pressure injuries and b) one respite (hospital) resident for lying and standing BP.</w:t>
            </w:r>
          </w:p>
          <w:p w:rsidR="00EB7645" w:rsidRPr="00BE00C7" w:rsidP="00BE00C7">
            <w:pPr>
              <w:pStyle w:val="OutcomeDescription"/>
              <w:spacing w:before="120" w:after="120"/>
              <w:rPr>
                <w:rFonts w:cs="Arial"/>
                <w:b w:val="0"/>
                <w:lang w:eastAsia="en-NZ"/>
              </w:rPr>
            </w:pPr>
            <w:r w:rsidRPr="00BE00C7">
              <w:rPr>
                <w:rFonts w:cs="Arial"/>
                <w:b w:val="0"/>
                <w:lang w:eastAsia="en-NZ"/>
              </w:rPr>
              <w:t>v) Interventions noted on eight accident/incident forms were not transferred to the care plan for one hospital respite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interventions are documented for all assessed care needs and in sufficient detail to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monitoring is consistently documented as detailed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all interventions requested by allied health care and noted on accident and incident forms are transferred to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NorthHaven Hospital</w:t>
    </w:r>
    <w:bookmarkEnd w:id="58"/>
    <w:r>
      <w:rPr>
        <w:rFonts w:cs="Arial"/>
        <w:sz w:val="16"/>
        <w:szCs w:val="20"/>
      </w:rPr>
      <w:tab/>
      <w:t xml:space="preserve">Date of Audit: </w:t>
    </w:r>
    <w:bookmarkStart w:id="59" w:name="AuditStartDate1"/>
    <w:r>
      <w:rPr>
        <w:rFonts w:cs="Arial"/>
        <w:sz w:val="16"/>
        <w:szCs w:val="20"/>
      </w:rPr>
      <w:t>5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